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FC0C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883BB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药剂采购</w:t>
      </w:r>
      <w:r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  <w:lang w:val="en-US" w:eastAsia="zh-CN"/>
        </w:rPr>
        <w:t>参数及要求</w:t>
      </w:r>
      <w:r>
        <w:rPr>
          <w:rFonts w:hint="eastAsia"/>
          <w:b/>
          <w:sz w:val="28"/>
          <w:szCs w:val="28"/>
        </w:rPr>
        <w:t>：</w:t>
      </w:r>
    </w:p>
    <w:p w14:paraId="6D91FD90">
      <w:pPr>
        <w:pStyle w:val="4"/>
        <w:numPr>
          <w:ilvl w:val="0"/>
          <w:numId w:val="0"/>
        </w:numPr>
        <w:ind w:firstLine="960" w:firstLineChars="3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品名：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聚合硫酸铁</w:t>
      </w:r>
    </w:p>
    <w:p w14:paraId="0223FC90">
      <w:pPr>
        <w:pStyle w:val="4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质量标准：达到或超过国家标准《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聚合硫酸铁</w:t>
      </w:r>
      <w:r>
        <w:rPr>
          <w:rFonts w:hint="eastAsia" w:ascii="宋体" w:hAnsi="宋体" w:eastAsia="宋体" w:cs="宋体"/>
          <w:sz w:val="32"/>
          <w:szCs w:val="32"/>
        </w:rPr>
        <w:t>》GB/T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14591-2016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</w:t>
      </w:r>
    </w:p>
    <w:tbl>
      <w:tblPr>
        <w:tblStyle w:val="2"/>
        <w:tblW w:w="7579" w:type="dxa"/>
        <w:jc w:val="center"/>
        <w:shd w:val="clear" w:color="auto" w:fill="FFFFFF"/>
        <w:tblLayout w:type="autofit"/>
        <w:tblCellMar>
          <w:top w:w="30" w:type="dxa"/>
          <w:left w:w="75" w:type="dxa"/>
          <w:bottom w:w="30" w:type="dxa"/>
          <w:right w:w="75" w:type="dxa"/>
        </w:tblCellMar>
      </w:tblPr>
      <w:tblGrid>
        <w:gridCol w:w="5979"/>
        <w:gridCol w:w="1600"/>
      </w:tblGrid>
      <w:tr w14:paraId="4ED67F21">
        <w:tblPrEx>
          <w:shd w:val="clear" w:color="auto" w:fill="FFFFFF"/>
          <w:tblCellMar>
            <w:top w:w="30" w:type="dxa"/>
            <w:left w:w="75" w:type="dxa"/>
            <w:bottom w:w="30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DBC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密度/g/cm3(20℃)≥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F929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1.45</w:t>
            </w:r>
          </w:p>
        </w:tc>
      </w:tr>
      <w:tr w14:paraId="0CD46B67">
        <w:tblPrEx>
          <w:tblCellMar>
            <w:top w:w="30" w:type="dxa"/>
            <w:left w:w="75" w:type="dxa"/>
            <w:bottom w:w="30" w:type="dxa"/>
            <w:right w:w="75" w:type="dxa"/>
          </w:tblCellMar>
        </w:tblPrEx>
        <w:trPr>
          <w:trHeight w:val="429" w:hRule="atLeast"/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A426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全铁的质量分数/%≥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1877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11.0</w:t>
            </w:r>
          </w:p>
        </w:tc>
      </w:tr>
      <w:tr w14:paraId="5C9CE1DD">
        <w:tblPrEx>
          <w:tblCellMar>
            <w:top w:w="30" w:type="dxa"/>
            <w:left w:w="75" w:type="dxa"/>
            <w:bottom w:w="30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A5BD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还原性物质(以Fe2+计)的质量分数/%≤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7306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0.10</w:t>
            </w:r>
          </w:p>
        </w:tc>
      </w:tr>
      <w:tr w14:paraId="00A22F2E">
        <w:tblPrEx>
          <w:tblCellMar>
            <w:top w:w="30" w:type="dxa"/>
            <w:left w:w="75" w:type="dxa"/>
            <w:bottom w:w="30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59FA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盐基度/%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15D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~16.0</w:t>
            </w:r>
          </w:p>
        </w:tc>
      </w:tr>
      <w:tr w14:paraId="0DB06FE1">
        <w:tblPrEx>
          <w:tblCellMar>
            <w:top w:w="30" w:type="dxa"/>
            <w:left w:w="75" w:type="dxa"/>
            <w:bottom w:w="30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3FFE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不溶物的质量分数/% ≤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2982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4C49C1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5163DF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4AAF"/>
    <w:rsid w:val="2EE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2026-07-07T07:53:00Z</dcterms:created>
  <dc:creator>Cc.≧﹏≦</dc:creator>
  <cp:lastModifiedBy>Cc.≧﹏≦</cp:lastModifiedBy>
  <dcterms:modified xsi:type="dcterms:W3CDTF">2026-07-07T07:54:19Z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13AE304300CA41C5BB9E0C21D1684B36_11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