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99F9F">
      <w:pPr>
        <w:pStyle w:val="6"/>
        <w:widowControl/>
        <w:spacing w:line="525" w:lineRule="atLeast"/>
        <w:jc w:val="left"/>
        <w:rPr>
          <w:rFonts w:hint="eastAsia" w:cs="思源黑体" w:asciiTheme="majorEastAsia" w:hAnsiTheme="majorEastAsia" w:eastAsiaTheme="majorEastAsia"/>
        </w:rPr>
      </w:pPr>
      <w:r>
        <w:rPr>
          <w:rStyle w:val="9"/>
          <w:rFonts w:hint="eastAsia" w:cs="思源黑体" w:asciiTheme="majorEastAsia" w:hAnsiTheme="majorEastAsia" w:eastAsiaTheme="majorEastAsia"/>
          <w:bCs/>
          <w:color w:val="000000"/>
        </w:rPr>
        <w:t>1.</w:t>
      </w:r>
      <w:r>
        <w:rPr>
          <w:rStyle w:val="9"/>
          <w:rFonts w:cs="思源黑体" w:asciiTheme="majorEastAsia" w:hAnsiTheme="majorEastAsia" w:eastAsiaTheme="majorEastAsia"/>
          <w:bCs/>
          <w:color w:val="000000"/>
        </w:rPr>
        <w:t>招标内容</w:t>
      </w:r>
      <w:r>
        <w:rPr>
          <w:rFonts w:cs="思源黑体" w:asciiTheme="majorEastAsia" w:hAnsiTheme="majorEastAsia" w:eastAsiaTheme="majorEastAsia"/>
          <w:color w:val="000000"/>
        </w:rPr>
        <w:t>：</w:t>
      </w:r>
    </w:p>
    <w:p w14:paraId="3AB49C08">
      <w:pPr>
        <w:pStyle w:val="6"/>
        <w:widowControl/>
        <w:spacing w:line="525" w:lineRule="atLeast"/>
        <w:ind w:firstLine="560"/>
        <w:jc w:val="left"/>
        <w:rPr>
          <w:rFonts w:hint="eastAsia" w:cs="思源黑体" w:asciiTheme="majorEastAsia" w:hAnsiTheme="majorEastAsia" w:eastAsiaTheme="majorEastAsia"/>
          <w:color w:val="000000"/>
        </w:rPr>
      </w:pPr>
      <w:r>
        <w:rPr>
          <w:rFonts w:cs="思源黑体" w:asciiTheme="majorEastAsia" w:hAnsiTheme="majorEastAsia" w:eastAsiaTheme="majorEastAsia"/>
          <w:b/>
          <w:bCs/>
          <w:color w:val="000000"/>
        </w:rPr>
        <w:t>1.1 项目概况</w:t>
      </w:r>
      <w:r>
        <w:rPr>
          <w:rFonts w:cs="思源黑体" w:asciiTheme="majorEastAsia" w:hAnsiTheme="majorEastAsia" w:eastAsiaTheme="majorEastAsia"/>
          <w:color w:val="000000"/>
        </w:rPr>
        <w:t xml:space="preserve"> </w:t>
      </w:r>
    </w:p>
    <w:p w14:paraId="20FDF661">
      <w:pPr>
        <w:pStyle w:val="6"/>
        <w:widowControl/>
        <w:spacing w:line="525" w:lineRule="atLeast"/>
        <w:ind w:firstLine="560"/>
        <w:jc w:val="left"/>
        <w:rPr>
          <w:rFonts w:hint="eastAsia" w:cs="思源黑体" w:asciiTheme="majorEastAsia" w:hAnsiTheme="majorEastAsia" w:eastAsiaTheme="majorEastAsia"/>
          <w:color w:val="000000"/>
        </w:rPr>
      </w:pPr>
      <w:r>
        <w:rPr>
          <w:rFonts w:cs="思源黑体" w:asciiTheme="majorEastAsia" w:hAnsiTheme="majorEastAsia" w:eastAsiaTheme="majorEastAsia"/>
          <w:color w:val="000000"/>
        </w:rPr>
        <w:t>吉林市水务集团第二供水厂10kV高压配电所采用10kV单母线分段接线方式，配置两路10kV电源进线柜及母线联络柜。由于现场建设条件限制，目前</w:t>
      </w:r>
      <w:r>
        <w:rPr>
          <w:rFonts w:hint="eastAsia" w:cs="思源黑体" w:asciiTheme="majorEastAsia" w:hAnsiTheme="majorEastAsia" w:eastAsiaTheme="majorEastAsia"/>
          <w:color w:val="000000"/>
        </w:rPr>
        <w:t>2</w:t>
      </w:r>
      <w:r>
        <w:rPr>
          <w:rFonts w:cs="思源黑体" w:asciiTheme="majorEastAsia" w:hAnsiTheme="majorEastAsia" w:eastAsiaTheme="majorEastAsia"/>
          <w:color w:val="000000"/>
        </w:rPr>
        <w:t>#电源进线尚未接入，</w:t>
      </w:r>
      <w:r>
        <w:rPr>
          <w:rFonts w:hint="eastAsia" w:cs="思源黑体" w:asciiTheme="majorEastAsia" w:hAnsiTheme="majorEastAsia" w:eastAsiaTheme="majorEastAsia"/>
          <w:color w:val="000000"/>
        </w:rPr>
        <w:t>2</w:t>
      </w:r>
      <w:r>
        <w:rPr>
          <w:rFonts w:cs="思源黑体" w:asciiTheme="majorEastAsia" w:hAnsiTheme="majorEastAsia" w:eastAsiaTheme="majorEastAsia"/>
          <w:color w:val="000000"/>
        </w:rPr>
        <w:t>#电源</w:t>
      </w:r>
      <w:r>
        <w:rPr>
          <w:rFonts w:hint="eastAsia" w:cs="思源黑体" w:asciiTheme="majorEastAsia" w:hAnsiTheme="majorEastAsia" w:eastAsiaTheme="majorEastAsia"/>
          <w:color w:val="000000"/>
        </w:rPr>
        <w:t>进线侧部分柜体（</w:t>
      </w:r>
      <w:r>
        <w:rPr>
          <w:rFonts w:cs="思源黑体" w:asciiTheme="majorEastAsia" w:hAnsiTheme="majorEastAsia" w:eastAsiaTheme="majorEastAsia"/>
          <w:color w:val="000000"/>
        </w:rPr>
        <w:t>包括但不限于：</w:t>
      </w:r>
      <w:r>
        <w:rPr>
          <w:rFonts w:hint="eastAsia" w:cs="思源黑体" w:asciiTheme="majorEastAsia" w:hAnsiTheme="majorEastAsia" w:eastAsiaTheme="majorEastAsia"/>
          <w:color w:val="000000"/>
        </w:rPr>
        <w:t>2#电源进线柜、2#电压互感器柜、2#主受柜、2#计量柜等）多年未投入运行，</w:t>
      </w:r>
      <w:r>
        <w:rPr>
          <w:rFonts w:cs="思源黑体" w:asciiTheme="majorEastAsia" w:hAnsiTheme="majorEastAsia" w:eastAsiaTheme="majorEastAsia"/>
          <w:color w:val="000000"/>
        </w:rPr>
        <w:t>现阶段运行模式为</w:t>
      </w:r>
      <w:r>
        <w:rPr>
          <w:rFonts w:hint="eastAsia" w:cs="思源黑体" w:asciiTheme="majorEastAsia" w:hAnsiTheme="majorEastAsia" w:eastAsiaTheme="majorEastAsia"/>
          <w:color w:val="000000"/>
        </w:rPr>
        <w:t>1</w:t>
      </w:r>
      <w:r>
        <w:rPr>
          <w:rFonts w:cs="思源黑体" w:asciiTheme="majorEastAsia" w:hAnsiTheme="majorEastAsia" w:eastAsiaTheme="majorEastAsia"/>
          <w:color w:val="000000"/>
        </w:rPr>
        <w:t>#电源单路进线供电并负担全站负荷</w:t>
      </w:r>
      <w:r>
        <w:rPr>
          <w:rFonts w:hint="eastAsia" w:cs="思源黑体" w:asciiTheme="majorEastAsia" w:hAnsiTheme="majorEastAsia" w:eastAsiaTheme="majorEastAsia"/>
          <w:color w:val="000000"/>
        </w:rPr>
        <w:t>，</w:t>
      </w:r>
      <w:r>
        <w:rPr>
          <w:rFonts w:cs="思源黑体" w:asciiTheme="majorEastAsia" w:hAnsiTheme="majorEastAsia" w:eastAsiaTheme="majorEastAsia"/>
          <w:color w:val="000000"/>
        </w:rPr>
        <w:t xml:space="preserve">仅 </w:t>
      </w:r>
      <w:r>
        <w:rPr>
          <w:rFonts w:hint="eastAsia" w:cs="思源黑体" w:asciiTheme="majorEastAsia" w:hAnsiTheme="majorEastAsia" w:eastAsiaTheme="majorEastAsia"/>
          <w:color w:val="000000"/>
        </w:rPr>
        <w:t>1</w:t>
      </w:r>
      <w:r>
        <w:rPr>
          <w:rFonts w:cs="思源黑体" w:asciiTheme="majorEastAsia" w:hAnsiTheme="majorEastAsia" w:eastAsiaTheme="majorEastAsia"/>
          <w:color w:val="000000"/>
        </w:rPr>
        <w:t># 电源侧计量柜配置有供电部门（电业局）认可的负控计量装置并正常运行；</w:t>
      </w:r>
      <w:r>
        <w:rPr>
          <w:rFonts w:hint="eastAsia" w:cs="思源黑体" w:asciiTheme="majorEastAsia" w:hAnsiTheme="majorEastAsia" w:eastAsiaTheme="majorEastAsia"/>
          <w:color w:val="000000"/>
        </w:rPr>
        <w:t>2</w:t>
      </w:r>
      <w:r>
        <w:rPr>
          <w:rFonts w:cs="思源黑体" w:asciiTheme="majorEastAsia" w:hAnsiTheme="majorEastAsia" w:eastAsiaTheme="majorEastAsia"/>
          <w:color w:val="000000"/>
        </w:rPr>
        <w:t># 电源侧计量设备已失效。</w:t>
      </w:r>
    </w:p>
    <w:p w14:paraId="20E61EEE">
      <w:pPr>
        <w:pStyle w:val="6"/>
        <w:widowControl/>
        <w:spacing w:line="525" w:lineRule="atLeast"/>
        <w:ind w:firstLine="560"/>
        <w:jc w:val="left"/>
        <w:rPr>
          <w:rFonts w:hint="eastAsia" w:cs="思源黑体" w:asciiTheme="majorEastAsia" w:hAnsiTheme="majorEastAsia" w:eastAsiaTheme="majorEastAsia"/>
          <w:color w:val="000000"/>
        </w:rPr>
      </w:pPr>
      <w:r>
        <w:rPr>
          <w:rFonts w:cs="思源黑体" w:asciiTheme="majorEastAsia" w:hAnsiTheme="majorEastAsia" w:eastAsiaTheme="majorEastAsia"/>
          <w:color w:val="000000"/>
        </w:rPr>
        <w:t>目前该配电所运行设备存在二次线路严重老化、直流电源母线接地故障等问题</w:t>
      </w:r>
      <w:r>
        <w:rPr>
          <w:rFonts w:hint="eastAsia" w:cs="思源黑体" w:asciiTheme="majorEastAsia" w:hAnsiTheme="majorEastAsia" w:eastAsiaTheme="majorEastAsia"/>
          <w:color w:val="000000"/>
        </w:rPr>
        <w:t>，且站内</w:t>
      </w:r>
      <w:r>
        <w:rPr>
          <w:rFonts w:cs="思源黑体" w:asciiTheme="majorEastAsia" w:hAnsiTheme="majorEastAsia" w:eastAsiaTheme="majorEastAsia"/>
          <w:color w:val="000000"/>
        </w:rPr>
        <w:t>部分工艺联锁及闭锁功能已失灵，部分高压断路器机构操作可靠性下降，</w:t>
      </w:r>
      <w:r>
        <w:rPr>
          <w:rFonts w:hint="eastAsia" w:cs="思源黑体" w:asciiTheme="majorEastAsia" w:hAnsiTheme="majorEastAsia" w:eastAsiaTheme="majorEastAsia"/>
          <w:color w:val="000000"/>
        </w:rPr>
        <w:t>多次发生拒动故障</w:t>
      </w:r>
      <w:r>
        <w:rPr>
          <w:rFonts w:cs="思源黑体" w:asciiTheme="majorEastAsia" w:hAnsiTheme="majorEastAsia" w:eastAsiaTheme="majorEastAsia"/>
          <w:color w:val="000000"/>
        </w:rPr>
        <w:t>，原有的电磁式继电保护装置性能落后、</w:t>
      </w:r>
      <w:r>
        <w:rPr>
          <w:rFonts w:hint="eastAsia" w:cs="思源黑体" w:asciiTheme="majorEastAsia" w:hAnsiTheme="majorEastAsia" w:eastAsiaTheme="majorEastAsia"/>
          <w:color w:val="000000"/>
        </w:rPr>
        <w:t>无法</w:t>
      </w:r>
      <w:r>
        <w:rPr>
          <w:rFonts w:cs="思源黑体" w:asciiTheme="majorEastAsia" w:hAnsiTheme="majorEastAsia" w:eastAsiaTheme="majorEastAsia"/>
          <w:color w:val="000000"/>
        </w:rPr>
        <w:t>可靠</w:t>
      </w:r>
      <w:r>
        <w:rPr>
          <w:rFonts w:hint="eastAsia" w:cs="思源黑体" w:asciiTheme="majorEastAsia" w:hAnsiTheme="majorEastAsia" w:eastAsiaTheme="majorEastAsia"/>
          <w:color w:val="000000"/>
        </w:rPr>
        <w:t>动作</w:t>
      </w:r>
      <w:r>
        <w:rPr>
          <w:rFonts w:cs="思源黑体" w:asciiTheme="majorEastAsia" w:hAnsiTheme="majorEastAsia" w:eastAsiaTheme="majorEastAsia"/>
          <w:color w:val="000000"/>
        </w:rPr>
        <w:t>，已无法满足供水生产的安全运行要求</w:t>
      </w:r>
      <w:r>
        <w:rPr>
          <w:rFonts w:hint="eastAsia" w:cs="思源黑体" w:asciiTheme="majorEastAsia" w:hAnsiTheme="majorEastAsia" w:eastAsiaTheme="majorEastAsia"/>
          <w:color w:val="000000"/>
        </w:rPr>
        <w:t>，</w:t>
      </w:r>
      <w:r>
        <w:rPr>
          <w:rFonts w:cs="思源黑体" w:asciiTheme="majorEastAsia" w:hAnsiTheme="majorEastAsia" w:eastAsiaTheme="majorEastAsia"/>
          <w:color w:val="000000"/>
        </w:rPr>
        <w:t>现需在保障水厂不停电或极短时间停电的前提下，对该配电所进行全面的升级改造</w:t>
      </w:r>
      <w:r>
        <w:rPr>
          <w:rFonts w:hint="eastAsia" w:cs="思源黑体" w:asciiTheme="majorEastAsia" w:hAnsiTheme="majorEastAsia" w:eastAsiaTheme="majorEastAsia"/>
          <w:color w:val="000000"/>
        </w:rPr>
        <w:t>。</w:t>
      </w:r>
    </w:p>
    <w:p w14:paraId="375A3295">
      <w:pPr>
        <w:pStyle w:val="6"/>
        <w:widowControl/>
        <w:spacing w:line="525" w:lineRule="atLeast"/>
        <w:ind w:firstLine="560"/>
        <w:jc w:val="left"/>
        <w:rPr>
          <w:rFonts w:hint="eastAsia" w:cs="思源黑体" w:asciiTheme="majorEastAsia" w:hAnsiTheme="majorEastAsia" w:eastAsiaTheme="majorEastAsia"/>
          <w:b/>
          <w:bCs/>
          <w:color w:val="000000"/>
        </w:rPr>
      </w:pPr>
      <w:r>
        <w:rPr>
          <w:rFonts w:cs="思源黑体" w:asciiTheme="majorEastAsia" w:hAnsiTheme="majorEastAsia" w:eastAsiaTheme="majorEastAsia"/>
          <w:b/>
          <w:bCs/>
          <w:color w:val="000000"/>
        </w:rPr>
        <w:t>1.</w:t>
      </w:r>
      <w:r>
        <w:rPr>
          <w:rFonts w:hint="eastAsia" w:cs="思源黑体" w:asciiTheme="majorEastAsia" w:hAnsiTheme="majorEastAsia" w:eastAsiaTheme="majorEastAsia"/>
          <w:b/>
          <w:bCs/>
          <w:color w:val="000000"/>
        </w:rPr>
        <w:t>2</w:t>
      </w:r>
      <w:r>
        <w:rPr>
          <w:rFonts w:cs="思源黑体" w:asciiTheme="majorEastAsia" w:hAnsiTheme="majorEastAsia" w:eastAsiaTheme="majorEastAsia"/>
          <w:b/>
          <w:bCs/>
          <w:color w:val="000000"/>
        </w:rPr>
        <w:t xml:space="preserve"> </w:t>
      </w:r>
      <w:r>
        <w:rPr>
          <w:rFonts w:hint="eastAsia" w:cs="思源黑体" w:asciiTheme="majorEastAsia" w:hAnsiTheme="majorEastAsia" w:eastAsiaTheme="majorEastAsia"/>
          <w:b/>
          <w:bCs/>
          <w:color w:val="000000"/>
        </w:rPr>
        <w:t>范围</w:t>
      </w:r>
    </w:p>
    <w:p w14:paraId="3D1E111F">
      <w:pPr>
        <w:pStyle w:val="6"/>
        <w:widowControl/>
        <w:spacing w:line="525" w:lineRule="atLeast"/>
        <w:ind w:firstLine="560"/>
        <w:jc w:val="left"/>
        <w:rPr>
          <w:rFonts w:hint="eastAsia" w:cs="思源黑体" w:asciiTheme="majorEastAsia" w:hAnsiTheme="majorEastAsia" w:eastAsiaTheme="majorEastAsia"/>
          <w:color w:val="000000"/>
        </w:rPr>
      </w:pPr>
      <w:r>
        <w:rPr>
          <w:rFonts w:hint="eastAsia" w:cs="思源黑体" w:asciiTheme="majorEastAsia" w:hAnsiTheme="majorEastAsia" w:eastAsiaTheme="majorEastAsia"/>
          <w:color w:val="000000"/>
        </w:rPr>
        <w:t>本URS适用于吉林市水务集团第二供水厂10kV高压配电所维修改造项目。改造内容包括但不限于以下范围：高、低压配电系统设计及施工图设计；电力智能监控系统建设；高、低压电缆桥架安装；10kV高压开关柜（主受电柜2台，变压器柜4台，10kV电机控制柜4台，电容器柜2台）的改造，以及加装电能质量监控系统终端及后台控制柜（含操作电脑）；改造过程中电源切换的相关施工；与本次改造高压开关柜相关的全部二次回路线路更换；高压柜柜内、柜间及相关控制、保护、信号回路的调整与接线；系统调试、试运行及相关技术服务等，完成工程总体验收</w:t>
      </w:r>
      <w:r>
        <w:rPr>
          <w:rFonts w:cs="思源黑体" w:asciiTheme="majorEastAsia" w:hAnsiTheme="majorEastAsia" w:eastAsiaTheme="majorEastAsia"/>
          <w:color w:val="000000"/>
        </w:rPr>
        <w:t>。</w:t>
      </w:r>
    </w:p>
    <w:p w14:paraId="6BFBF072">
      <w:pPr>
        <w:pStyle w:val="6"/>
        <w:widowControl/>
        <w:spacing w:line="525" w:lineRule="atLeast"/>
        <w:ind w:firstLine="560"/>
        <w:jc w:val="left"/>
        <w:rPr>
          <w:rFonts w:hint="eastAsia" w:cs="思源黑体" w:asciiTheme="majorEastAsia" w:hAnsiTheme="majorEastAsia" w:eastAsiaTheme="majorEastAsia"/>
          <w:color w:val="000000"/>
        </w:rPr>
      </w:pPr>
    </w:p>
    <w:p w14:paraId="42BCEC57">
      <w:pPr>
        <w:pStyle w:val="6"/>
        <w:widowControl/>
        <w:spacing w:line="525" w:lineRule="atLeast"/>
        <w:ind w:firstLine="560"/>
        <w:jc w:val="left"/>
        <w:rPr>
          <w:rFonts w:hint="eastAsia" w:cs="思源黑体" w:asciiTheme="majorEastAsia" w:hAnsiTheme="majorEastAsia" w:eastAsiaTheme="majorEastAsia"/>
          <w:color w:val="000000"/>
        </w:rPr>
      </w:pPr>
    </w:p>
    <w:p w14:paraId="72FA280B">
      <w:pPr>
        <w:pStyle w:val="6"/>
        <w:widowControl/>
        <w:spacing w:line="525" w:lineRule="atLeast"/>
        <w:ind w:firstLine="560"/>
        <w:jc w:val="left"/>
        <w:rPr>
          <w:rFonts w:hint="eastAsia" w:cs="思源黑体" w:asciiTheme="majorEastAsia" w:hAnsiTheme="majorEastAsia" w:eastAsiaTheme="majorEastAsia"/>
          <w:color w:val="000000"/>
        </w:rPr>
      </w:pPr>
    </w:p>
    <w:p w14:paraId="4B33F349">
      <w:pPr>
        <w:pStyle w:val="6"/>
        <w:widowControl/>
        <w:spacing w:line="525" w:lineRule="atLeast"/>
        <w:ind w:firstLine="560"/>
        <w:jc w:val="left"/>
        <w:rPr>
          <w:rFonts w:hint="eastAsia" w:cs="思源黑体" w:asciiTheme="majorEastAsia" w:hAnsiTheme="majorEastAsia" w:eastAsiaTheme="majorEastAsia"/>
          <w:color w:val="000000"/>
        </w:rPr>
      </w:pPr>
    </w:p>
    <w:p w14:paraId="51947676">
      <w:pPr>
        <w:pStyle w:val="6"/>
        <w:spacing w:line="525" w:lineRule="atLeast"/>
        <w:ind w:firstLine="482" w:firstLineChars="200"/>
        <w:rPr>
          <w:rFonts w:hint="eastAsia" w:cs="思源黑体" w:asciiTheme="majorEastAsia" w:hAnsiTheme="majorEastAsia" w:eastAsiaTheme="majorEastAsia"/>
          <w:b/>
          <w:bCs/>
          <w:color w:val="000000"/>
          <w:lang w:val="en-AU"/>
        </w:rPr>
      </w:pPr>
      <w:r>
        <w:rPr>
          <w:rFonts w:hint="eastAsia" w:cs="思源黑体" w:asciiTheme="majorEastAsia" w:hAnsiTheme="majorEastAsia" w:eastAsiaTheme="majorEastAsia"/>
          <w:b/>
          <w:bCs/>
          <w:color w:val="000000"/>
        </w:rPr>
        <w:t>1.3</w:t>
      </w:r>
      <w:r>
        <w:rPr>
          <w:rFonts w:cs="思源黑体" w:asciiTheme="majorEastAsia" w:hAnsiTheme="majorEastAsia" w:eastAsiaTheme="majorEastAsia"/>
          <w:b/>
          <w:bCs/>
          <w:color w:val="000000"/>
        </w:rPr>
        <w:t xml:space="preserve"> 遵循的主要标准规范 本项目的设计、制造、安装及验收应符合（但不限于）以下国家及行业标准：</w:t>
      </w:r>
    </w:p>
    <w:p w14:paraId="47917504">
      <w:pPr>
        <w:pStyle w:val="6"/>
        <w:spacing w:line="525" w:lineRule="atLeast"/>
        <w:ind w:left="420"/>
        <w:rPr>
          <w:rFonts w:ascii="Arial" w:hAnsi="Arial" w:eastAsia="宋体" w:cs="Arial"/>
          <w:bCs/>
          <w:sz w:val="21"/>
          <w:szCs w:val="21"/>
        </w:rPr>
      </w:pPr>
      <w:r>
        <w:rPr>
          <w:rFonts w:ascii="Arial" w:hAnsi="Arial" w:eastAsia="宋体" w:cs="Arial"/>
          <w:bCs/>
          <w:sz w:val="21"/>
          <w:szCs w:val="21"/>
        </w:rPr>
        <w:t>《20kV及以下变电所设计规范》GB 50053-2013</w:t>
      </w:r>
      <w:r>
        <w:rPr>
          <w:rFonts w:ascii="Arial" w:hAnsi="Arial" w:eastAsia="宋体" w:cs="Arial"/>
          <w:bCs/>
          <w:sz w:val="21"/>
          <w:szCs w:val="21"/>
        </w:rPr>
        <w:br w:type="textWrapping"/>
      </w:r>
      <w:r>
        <w:rPr>
          <w:rFonts w:ascii="Arial" w:hAnsi="Arial" w:eastAsia="宋体" w:cs="Arial"/>
          <w:bCs/>
          <w:sz w:val="21"/>
          <w:szCs w:val="21"/>
        </w:rPr>
        <w:t>《供配电系统设计规范》GB 50052-2016</w:t>
      </w:r>
      <w:r>
        <w:rPr>
          <w:rFonts w:ascii="Arial" w:hAnsi="Arial" w:eastAsia="宋体" w:cs="Arial"/>
          <w:bCs/>
          <w:sz w:val="21"/>
          <w:szCs w:val="21"/>
        </w:rPr>
        <w:br w:type="textWrapping"/>
      </w:r>
      <w:r>
        <w:rPr>
          <w:rFonts w:ascii="Arial" w:hAnsi="Arial" w:eastAsia="宋体" w:cs="Arial"/>
          <w:bCs/>
          <w:sz w:val="21"/>
          <w:szCs w:val="21"/>
        </w:rPr>
        <w:t>《低压配电设计规范》GB 50054-2011</w:t>
      </w:r>
      <w:r>
        <w:rPr>
          <w:rFonts w:ascii="Arial" w:hAnsi="Arial" w:eastAsia="宋体" w:cs="Arial"/>
          <w:bCs/>
          <w:sz w:val="21"/>
          <w:szCs w:val="21"/>
        </w:rPr>
        <w:br w:type="textWrapping"/>
      </w:r>
      <w:r>
        <w:rPr>
          <w:rFonts w:ascii="Arial" w:hAnsi="Arial" w:eastAsia="宋体" w:cs="Arial"/>
          <w:bCs/>
          <w:sz w:val="21"/>
          <w:szCs w:val="21"/>
        </w:rPr>
        <w:t>《电力工程电缆设计标准》GB 50217-2018</w:t>
      </w:r>
      <w:r>
        <w:rPr>
          <w:rFonts w:ascii="Arial" w:hAnsi="Arial" w:eastAsia="宋体" w:cs="Arial"/>
          <w:bCs/>
          <w:sz w:val="21"/>
          <w:szCs w:val="21"/>
        </w:rPr>
        <w:br w:type="textWrapping"/>
      </w:r>
      <w:r>
        <w:rPr>
          <w:rFonts w:ascii="Arial" w:hAnsi="Arial" w:eastAsia="宋体" w:cs="Arial"/>
          <w:bCs/>
          <w:sz w:val="21"/>
          <w:szCs w:val="21"/>
        </w:rPr>
        <w:t>《电力装置安装工程 电力变压器、油浸电抗器、互感器施工及验收规范》GB 50148-2010</w:t>
      </w:r>
      <w:r>
        <w:rPr>
          <w:rFonts w:ascii="Arial" w:hAnsi="Arial" w:eastAsia="宋体" w:cs="Arial"/>
          <w:bCs/>
          <w:sz w:val="21"/>
          <w:szCs w:val="21"/>
        </w:rPr>
        <w:br w:type="textWrapping"/>
      </w:r>
      <w:r>
        <w:rPr>
          <w:rFonts w:ascii="Arial" w:hAnsi="Arial" w:eastAsia="宋体" w:cs="Arial"/>
          <w:bCs/>
          <w:sz w:val="21"/>
          <w:szCs w:val="21"/>
        </w:rPr>
        <w:t>《电气装置安装工程 电缆线路施工及验收规范》GB 50168-2018</w:t>
      </w:r>
      <w:r>
        <w:rPr>
          <w:rFonts w:ascii="Arial" w:hAnsi="Arial" w:eastAsia="宋体" w:cs="Arial"/>
          <w:bCs/>
          <w:sz w:val="21"/>
          <w:szCs w:val="21"/>
        </w:rPr>
        <w:br w:type="textWrapping"/>
      </w:r>
      <w:r>
        <w:rPr>
          <w:rFonts w:ascii="Arial" w:hAnsi="Arial" w:eastAsia="宋体" w:cs="Arial"/>
          <w:bCs/>
          <w:sz w:val="21"/>
          <w:szCs w:val="21"/>
        </w:rPr>
        <w:t>《电气装置安装工程 电力变流设备施工及验收规范》GB 50255-2014</w:t>
      </w:r>
      <w:r>
        <w:rPr>
          <w:rFonts w:ascii="Arial" w:hAnsi="Arial" w:eastAsia="宋体" w:cs="Arial"/>
          <w:bCs/>
          <w:sz w:val="21"/>
          <w:szCs w:val="21"/>
        </w:rPr>
        <w:br w:type="textWrapping"/>
      </w:r>
      <w:r>
        <w:rPr>
          <w:rFonts w:ascii="Arial" w:hAnsi="Arial" w:eastAsia="宋体" w:cs="Arial"/>
          <w:bCs/>
          <w:sz w:val="21"/>
          <w:szCs w:val="21"/>
        </w:rPr>
        <w:t>《电气装置安装工程 接地装置施工及验收规范》GB 50169-2016</w:t>
      </w:r>
      <w:r>
        <w:rPr>
          <w:rFonts w:ascii="Arial" w:hAnsi="Arial" w:eastAsia="宋体" w:cs="Arial"/>
          <w:bCs/>
          <w:sz w:val="21"/>
          <w:szCs w:val="21"/>
        </w:rPr>
        <w:br w:type="textWrapping"/>
      </w:r>
      <w:r>
        <w:rPr>
          <w:rFonts w:ascii="Arial" w:hAnsi="Arial" w:eastAsia="宋体" w:cs="Arial"/>
          <w:bCs/>
          <w:sz w:val="21"/>
          <w:szCs w:val="21"/>
        </w:rPr>
        <w:t>《电气装置安装工程 电气设备交接试验标准》GB 50150-2016</w:t>
      </w:r>
      <w:r>
        <w:rPr>
          <w:rFonts w:ascii="Arial" w:hAnsi="Arial" w:eastAsia="宋体" w:cs="Arial"/>
          <w:bCs/>
          <w:sz w:val="21"/>
          <w:szCs w:val="21"/>
        </w:rPr>
        <w:br w:type="textWrapping"/>
      </w:r>
      <w:r>
        <w:rPr>
          <w:rFonts w:ascii="Arial" w:hAnsi="Arial" w:eastAsia="宋体" w:cs="Arial"/>
          <w:bCs/>
          <w:sz w:val="21"/>
          <w:szCs w:val="21"/>
        </w:rPr>
        <w:t>《综合布线系统工程验收规范》GB 50312-2016</w:t>
      </w:r>
      <w:r>
        <w:rPr>
          <w:rFonts w:ascii="Arial" w:hAnsi="Arial" w:eastAsia="宋体" w:cs="Arial"/>
          <w:bCs/>
          <w:sz w:val="21"/>
          <w:szCs w:val="21"/>
        </w:rPr>
        <w:br w:type="textWrapping"/>
      </w:r>
      <w:r>
        <w:rPr>
          <w:rFonts w:ascii="Arial" w:hAnsi="Arial" w:eastAsia="宋体" w:cs="Arial"/>
          <w:bCs/>
          <w:sz w:val="21"/>
          <w:szCs w:val="21"/>
        </w:rPr>
        <w:t>《高压开关设备和控制设备标准的共用技术要求》GB/T 11022-2020</w:t>
      </w:r>
      <w:r>
        <w:rPr>
          <w:rFonts w:ascii="Arial" w:hAnsi="Arial" w:eastAsia="宋体" w:cs="Arial"/>
          <w:bCs/>
          <w:sz w:val="21"/>
          <w:szCs w:val="21"/>
        </w:rPr>
        <w:br w:type="textWrapping"/>
      </w:r>
      <w:r>
        <w:rPr>
          <w:rFonts w:ascii="Arial" w:hAnsi="Arial" w:eastAsia="宋体" w:cs="Arial"/>
          <w:bCs/>
          <w:sz w:val="21"/>
          <w:szCs w:val="21"/>
        </w:rPr>
        <w:t>《高压交流断路器》GB/T 1984-2024</w:t>
      </w:r>
      <w:r>
        <w:rPr>
          <w:rFonts w:ascii="Arial" w:hAnsi="Arial" w:eastAsia="宋体" w:cs="Arial"/>
          <w:bCs/>
          <w:sz w:val="21"/>
          <w:szCs w:val="21"/>
        </w:rPr>
        <w:br w:type="textWrapping"/>
      </w:r>
      <w:r>
        <w:rPr>
          <w:rFonts w:ascii="Arial" w:hAnsi="Arial" w:eastAsia="宋体" w:cs="Arial"/>
          <w:bCs/>
          <w:sz w:val="21"/>
          <w:szCs w:val="21"/>
        </w:rPr>
        <w:t>《3.6kV~40.5kV 交流金属封闭开关设备和控制设备》DL/T 404-2018</w:t>
      </w:r>
      <w:r>
        <w:rPr>
          <w:rFonts w:ascii="Arial" w:hAnsi="Arial" w:eastAsia="宋体" w:cs="Arial"/>
          <w:bCs/>
          <w:sz w:val="21"/>
          <w:szCs w:val="21"/>
        </w:rPr>
        <w:br w:type="textWrapping"/>
      </w:r>
      <w:r>
        <w:rPr>
          <w:rFonts w:ascii="Arial" w:hAnsi="Arial" w:eastAsia="宋体" w:cs="Arial"/>
          <w:bCs/>
          <w:sz w:val="21"/>
          <w:szCs w:val="21"/>
        </w:rPr>
        <w:t>《电气装置安装工程 盘、柜及二次回路接线施工及验收规范》GB/T 50171-2012</w:t>
      </w:r>
      <w:r>
        <w:rPr>
          <w:rFonts w:ascii="Arial" w:hAnsi="Arial" w:eastAsia="宋体" w:cs="Arial"/>
          <w:bCs/>
          <w:sz w:val="21"/>
          <w:szCs w:val="21"/>
        </w:rPr>
        <w:br w:type="textWrapping"/>
      </w:r>
      <w:r>
        <w:rPr>
          <w:rFonts w:ascii="Arial" w:hAnsi="Arial" w:eastAsia="宋体" w:cs="Arial"/>
          <w:bCs/>
          <w:sz w:val="21"/>
          <w:szCs w:val="21"/>
        </w:rPr>
        <w:t>《继电保护和安全自动装置技术规程》GB/T 14285-2006</w:t>
      </w:r>
    </w:p>
    <w:p w14:paraId="666DBF37">
      <w:pPr>
        <w:pStyle w:val="6"/>
        <w:widowControl/>
        <w:spacing w:line="525" w:lineRule="atLeast"/>
        <w:ind w:firstLine="560"/>
        <w:jc w:val="left"/>
        <w:rPr>
          <w:rFonts w:hint="eastAsia" w:cs="思源黑体" w:asciiTheme="majorEastAsia" w:hAnsiTheme="majorEastAsia" w:eastAsiaTheme="majorEastAsia"/>
          <w:b/>
          <w:bCs/>
          <w:color w:val="000000"/>
        </w:rPr>
      </w:pPr>
      <w:r>
        <w:rPr>
          <w:rFonts w:hint="eastAsia" w:cs="思源黑体" w:asciiTheme="majorEastAsia" w:hAnsiTheme="majorEastAsia" w:eastAsiaTheme="majorEastAsia"/>
          <w:b/>
          <w:bCs/>
          <w:color w:val="000000"/>
        </w:rPr>
        <w:t>1.4资质业绩、财务证明</w:t>
      </w:r>
    </w:p>
    <w:p w14:paraId="2BE37F39">
      <w:pPr>
        <w:pStyle w:val="6"/>
        <w:widowControl/>
        <w:spacing w:line="525" w:lineRule="atLeast"/>
        <w:ind w:firstLine="56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资质：本次招标要求投标人具有建设行政主管部门颁发的电力工程施工总承包二级及以上或输变电工程专业承包二级及以上资质，许可项目包括但不限于供电、受电电力设施的安装、维修和试验，具有承装（修、试）电力设施许可证。</w:t>
      </w:r>
    </w:p>
    <w:p w14:paraId="65CEAEC4">
      <w:pPr>
        <w:pStyle w:val="6"/>
        <w:widowControl/>
        <w:spacing w:line="525" w:lineRule="atLeast"/>
        <w:ind w:firstLine="56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业绩：提供本单位施工业绩证明。</w:t>
      </w:r>
    </w:p>
    <w:p w14:paraId="210DD2A9">
      <w:pPr>
        <w:pStyle w:val="6"/>
        <w:widowControl/>
        <w:spacing w:line="525" w:lineRule="atLeast"/>
        <w:ind w:firstLine="56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财务证明；证明本公司财务无不良账务。</w:t>
      </w:r>
    </w:p>
    <w:p w14:paraId="35C8EF5D">
      <w:pPr>
        <w:pStyle w:val="6"/>
        <w:widowControl/>
        <w:spacing w:line="525" w:lineRule="atLeast"/>
        <w:ind w:firstLine="560"/>
        <w:jc w:val="left"/>
        <w:rPr>
          <w:rFonts w:hint="eastAsia" w:cs="思源黑体" w:asciiTheme="majorEastAsia" w:hAnsiTheme="majorEastAsia" w:eastAsiaTheme="majorEastAsia"/>
          <w:color w:val="000000"/>
        </w:rPr>
      </w:pPr>
      <w:r>
        <w:rPr>
          <w:rFonts w:hint="eastAsia" w:cs="思源黑体" w:asciiTheme="majorEastAsia" w:hAnsiTheme="majorEastAsia" w:eastAsiaTheme="majorEastAsia"/>
          <w:b/>
          <w:bCs/>
          <w:color w:val="000000"/>
        </w:rPr>
        <w:t>1.5付款方式</w:t>
      </w:r>
      <w:r>
        <w:rPr>
          <w:rFonts w:hint="eastAsia" w:cs="思源黑体" w:asciiTheme="majorEastAsia" w:hAnsiTheme="majorEastAsia" w:eastAsiaTheme="majorEastAsia"/>
          <w:color w:val="000000"/>
        </w:rPr>
        <w:t>：本次工程改造，合同签订后预付工程总金额30%，工程竣工验收合格后付工程总金额65%，质保</w:t>
      </w:r>
      <w:r>
        <w:rPr>
          <w:rFonts w:hint="eastAsia" w:cs="思源黑体" w:asciiTheme="majorEastAsia" w:hAnsiTheme="majorEastAsia" w:eastAsiaTheme="majorEastAsia"/>
          <w:color w:val="000000"/>
          <w:u w:val="single"/>
        </w:rPr>
        <w:t xml:space="preserve">  2  </w:t>
      </w:r>
      <w:r>
        <w:rPr>
          <w:rFonts w:hint="eastAsia" w:cs="思源黑体" w:asciiTheme="majorEastAsia" w:hAnsiTheme="majorEastAsia" w:eastAsiaTheme="majorEastAsia"/>
          <w:color w:val="000000"/>
        </w:rPr>
        <w:t>年后付工程总金额5%。</w:t>
      </w:r>
    </w:p>
    <w:p w14:paraId="1E94F098">
      <w:pPr>
        <w:pStyle w:val="6"/>
        <w:widowControl/>
        <w:spacing w:line="525" w:lineRule="atLeast"/>
        <w:ind w:firstLine="560"/>
        <w:jc w:val="left"/>
        <w:rPr>
          <w:rFonts w:hint="eastAsia" w:cs="思源黑体" w:asciiTheme="majorEastAsia" w:hAnsiTheme="majorEastAsia" w:eastAsiaTheme="majorEastAsia"/>
          <w:b/>
          <w:bCs/>
          <w:color w:val="000000"/>
        </w:rPr>
      </w:pPr>
      <w:r>
        <w:rPr>
          <w:rFonts w:hint="eastAsia" w:cs="思源黑体" w:asciiTheme="majorEastAsia" w:hAnsiTheme="majorEastAsia" w:eastAsiaTheme="majorEastAsia"/>
          <w:b/>
          <w:bCs/>
          <w:color w:val="000000"/>
        </w:rPr>
        <w:t>1.6 补充</w:t>
      </w:r>
    </w:p>
    <w:p w14:paraId="56DF7855">
      <w:pPr>
        <w:pStyle w:val="6"/>
        <w:widowControl/>
        <w:spacing w:line="525" w:lineRule="atLeast"/>
        <w:ind w:firstLine="560"/>
        <w:jc w:val="left"/>
        <w:rPr>
          <w:rFonts w:hint="eastAsia" w:cs="思源黑体" w:asciiTheme="majorEastAsia" w:hAnsiTheme="majorEastAsia" w:eastAsiaTheme="majorEastAsia"/>
          <w:color w:val="000000"/>
        </w:rPr>
      </w:pPr>
      <w:r>
        <w:rPr>
          <w:rFonts w:hint="eastAsia" w:cs="思源黑体" w:asciiTheme="majorEastAsia" w:hAnsiTheme="majorEastAsia" w:eastAsiaTheme="majorEastAsia"/>
          <w:color w:val="000000"/>
        </w:rPr>
        <w:t>以上内容及后续技术要求（URS）为本次工程的主要实施范围，因本项目为技术改造工程，施工中可能会有未可预见的细节问题，施工过程中如遇此类问题，以满足建设单位生产运行要求为准。</w:t>
      </w:r>
    </w:p>
    <w:p w14:paraId="37482BE9">
      <w:pPr>
        <w:pStyle w:val="6"/>
        <w:widowControl/>
        <w:spacing w:line="525" w:lineRule="atLeast"/>
        <w:ind w:firstLine="560"/>
        <w:jc w:val="left"/>
        <w:rPr>
          <w:rFonts w:hint="eastAsia" w:cs="思源黑体" w:asciiTheme="majorEastAsia" w:hAnsiTheme="majorEastAsia" w:eastAsiaTheme="majorEastAsia"/>
          <w:color w:val="000000"/>
        </w:rPr>
      </w:pPr>
      <w:r>
        <w:rPr>
          <w:rFonts w:hint="eastAsia" w:cs="思源黑体" w:asciiTheme="majorEastAsia" w:hAnsiTheme="majorEastAsia" w:eastAsiaTheme="majorEastAsia"/>
          <w:color w:val="000000"/>
        </w:rPr>
        <w:t>施工所使用电线、电缆及其它配件，需符合行业标准，同时满足我公司要求。施工方案未响应技术要求（URS），禁止进场施工。</w:t>
      </w:r>
    </w:p>
    <w:p w14:paraId="09189A6F">
      <w:pPr>
        <w:pStyle w:val="6"/>
        <w:widowControl/>
        <w:spacing w:line="525" w:lineRule="atLeast"/>
        <w:ind w:firstLine="560"/>
        <w:jc w:val="left"/>
        <w:rPr>
          <w:rFonts w:hint="eastAsia" w:cs="思源黑体" w:asciiTheme="majorEastAsia" w:hAnsiTheme="majorEastAsia" w:eastAsiaTheme="majorEastAsia"/>
          <w:b/>
          <w:bCs/>
          <w:color w:val="000000"/>
        </w:rPr>
      </w:pPr>
      <w:r>
        <w:rPr>
          <w:rFonts w:hint="eastAsia" w:cs="思源黑体" w:asciiTheme="majorEastAsia" w:hAnsiTheme="majorEastAsia" w:eastAsiaTheme="majorEastAsia"/>
          <w:b/>
          <w:bCs/>
          <w:color w:val="000000"/>
        </w:rPr>
        <w:t>1.7 验收</w:t>
      </w:r>
    </w:p>
    <w:p w14:paraId="59B28845">
      <w:pPr>
        <w:pStyle w:val="6"/>
        <w:widowControl/>
        <w:spacing w:line="525" w:lineRule="atLeast"/>
        <w:ind w:firstLine="560"/>
        <w:jc w:val="left"/>
        <w:rPr>
          <w:rFonts w:hint="eastAsia" w:cs="思源黑体" w:asciiTheme="majorEastAsia" w:hAnsiTheme="majorEastAsia" w:eastAsiaTheme="majorEastAsia"/>
          <w:color w:val="000000"/>
        </w:rPr>
      </w:pPr>
      <w:r>
        <w:rPr>
          <w:rFonts w:hint="eastAsia" w:cs="思源黑体" w:asciiTheme="majorEastAsia" w:hAnsiTheme="majorEastAsia" w:eastAsiaTheme="majorEastAsia"/>
          <w:color w:val="000000"/>
        </w:rPr>
        <w:t>本次改造工程竣工验收为：第二供水厂、生产技术部、物资采购部、施工单位进行联合验收。</w:t>
      </w:r>
    </w:p>
    <w:p w14:paraId="027B7934">
      <w:pPr>
        <w:pStyle w:val="6"/>
        <w:widowControl/>
        <w:spacing w:line="525" w:lineRule="atLeast"/>
        <w:ind w:firstLine="560"/>
        <w:jc w:val="left"/>
        <w:rPr>
          <w:rFonts w:hint="eastAsia" w:cs="思源黑体" w:asciiTheme="majorEastAsia" w:hAnsiTheme="majorEastAsia" w:eastAsiaTheme="majorEastAsia"/>
          <w:b/>
          <w:bCs/>
          <w:color w:val="000000"/>
        </w:rPr>
      </w:pPr>
      <w:r>
        <w:rPr>
          <w:rFonts w:hint="eastAsia" w:cs="思源黑体" w:asciiTheme="majorEastAsia" w:hAnsiTheme="majorEastAsia" w:eastAsiaTheme="majorEastAsia"/>
          <w:b/>
          <w:bCs/>
          <w:color w:val="000000"/>
        </w:rPr>
        <w:t>1.8施工安全</w:t>
      </w:r>
    </w:p>
    <w:p w14:paraId="6F4FB517">
      <w:pPr>
        <w:pStyle w:val="6"/>
        <w:widowControl/>
        <w:spacing w:line="525" w:lineRule="atLeast"/>
        <w:ind w:firstLine="560"/>
        <w:jc w:val="left"/>
        <w:rPr>
          <w:rFonts w:hint="eastAsia" w:cs="思源黑体" w:asciiTheme="majorEastAsia" w:hAnsiTheme="majorEastAsia" w:eastAsiaTheme="majorEastAsia"/>
          <w:color w:val="000000"/>
        </w:rPr>
      </w:pPr>
      <w:r>
        <w:rPr>
          <w:rFonts w:hint="eastAsia" w:cs="思源黑体" w:asciiTheme="majorEastAsia" w:hAnsiTheme="majorEastAsia" w:eastAsiaTheme="majorEastAsia"/>
          <w:color w:val="000000"/>
        </w:rPr>
        <w:t>此次施工项目全过程现场施工安全管理全部由施工方负责。</w:t>
      </w:r>
    </w:p>
    <w:p w14:paraId="30D8DEC3">
      <w:pPr>
        <w:pStyle w:val="12"/>
        <w:ind w:left="360" w:firstLine="0"/>
        <w:rPr>
          <w:rFonts w:hint="eastAsia" w:cs="思源黑体" w:asciiTheme="majorEastAsia" w:hAnsiTheme="majorEastAsia" w:eastAsiaTheme="majorEastAsia"/>
          <w:bCs/>
          <w:color w:val="000000"/>
        </w:rPr>
      </w:pPr>
      <w:r>
        <w:rPr>
          <w:rFonts w:hint="eastAsia" w:cs="思源黑体" w:asciiTheme="majorEastAsia" w:hAnsiTheme="majorEastAsia" w:eastAsiaTheme="majorEastAsia"/>
          <w:bCs/>
          <w:color w:val="000000"/>
        </w:rPr>
        <w:t>2.</w:t>
      </w:r>
      <w:r>
        <w:rPr>
          <w:rFonts w:cs="思源黑体" w:asciiTheme="majorEastAsia" w:hAnsiTheme="majorEastAsia" w:eastAsiaTheme="majorEastAsia"/>
          <w:bCs/>
          <w:color w:val="000000"/>
        </w:rPr>
        <w:t>技术要求</w:t>
      </w:r>
    </w:p>
    <w:p w14:paraId="6490F941">
      <w:pPr>
        <w:pStyle w:val="12"/>
        <w:ind w:left="360" w:firstLine="0"/>
      </w:pPr>
    </w:p>
    <w:tbl>
      <w:tblPr>
        <w:tblStyle w:val="7"/>
        <w:tblW w:w="500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1097"/>
        <w:gridCol w:w="7325"/>
      </w:tblGrid>
      <w:tr w14:paraId="25D5B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000" w:type="pct"/>
            <w:gridSpan w:val="2"/>
            <w:vAlign w:val="center"/>
          </w:tcPr>
          <w:p w14:paraId="6A5A50AC">
            <w:pPr>
              <w:pStyle w:val="2"/>
              <w:keepNext w:val="0"/>
              <w:keepLines w:val="0"/>
              <w:widowControl w:val="0"/>
              <w:snapToGrid w:val="0"/>
              <w:spacing w:before="0" w:after="0" w:line="240" w:lineRule="auto"/>
              <w:jc w:val="both"/>
              <w:rPr>
                <w:rFonts w:cs="Arial"/>
                <w:color w:val="000000" w:themeColor="text1"/>
                <w:sz w:val="21"/>
                <w:szCs w:val="21"/>
                <w:lang w:eastAsia="zh-CN"/>
                <w14:textFill>
                  <w14:solidFill>
                    <w14:schemeClr w14:val="tx1"/>
                  </w14:solidFill>
                </w14:textFill>
              </w:rPr>
            </w:pPr>
            <w:bookmarkStart w:id="0" w:name="_Toc15600"/>
            <w:r>
              <w:rPr>
                <w:rFonts w:hint="eastAsia" w:cs="Arial"/>
                <w:color w:val="000000" w:themeColor="text1"/>
                <w:sz w:val="21"/>
                <w:szCs w:val="21"/>
                <w:lang w:eastAsia="zh-CN"/>
                <w14:textFill>
                  <w14:solidFill>
                    <w14:schemeClr w14:val="tx1"/>
                  </w14:solidFill>
                </w14:textFill>
              </w:rPr>
              <w:t>2.1工程服务范围及整体要求</w:t>
            </w:r>
            <w:bookmarkEnd w:id="0"/>
          </w:p>
        </w:tc>
      </w:tr>
      <w:tr w14:paraId="7D00F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28" w:hRule="atLeast"/>
          <w:jc w:val="center"/>
        </w:trPr>
        <w:tc>
          <w:tcPr>
            <w:tcW w:w="651" w:type="pct"/>
            <w:vAlign w:val="center"/>
          </w:tcPr>
          <w:p w14:paraId="13A61D23">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66B8738C">
            <w:pPr>
              <w:snapToGrid w:val="0"/>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本工程为交钥匙工程，包括设备图纸设计、现场施工改造、调试检测、送电，以及施工过程中需要协调电业局的计量设备迁移、停电协调手续办理，达到用户正常供电；所有制造安装所需材料、采购、运输费用；垃圾处理、税费、风险安全等所有相关费用都由施工单位负责。</w:t>
            </w:r>
          </w:p>
        </w:tc>
      </w:tr>
      <w:tr w14:paraId="41535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8" w:hRule="atLeast"/>
          <w:jc w:val="center"/>
        </w:trPr>
        <w:tc>
          <w:tcPr>
            <w:tcW w:w="651" w:type="pct"/>
            <w:vAlign w:val="center"/>
          </w:tcPr>
          <w:p w14:paraId="290BC911">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442D54FC">
            <w:pPr>
              <w:snapToGrid w:val="0"/>
              <w:rPr>
                <w:rFonts w:eastAsia="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施工交付：</w:t>
            </w:r>
            <w:r>
              <w:rPr>
                <w:rFonts w:hint="eastAsia" w:ascii="Calibri" w:hAnsi="Calibri" w:cs="Calibri"/>
                <w:color w:val="000000" w:themeColor="text1"/>
                <w:szCs w:val="21"/>
                <w14:textFill>
                  <w14:solidFill>
                    <w14:schemeClr w14:val="tx1"/>
                  </w14:solidFill>
                </w14:textFill>
              </w:rPr>
              <w:t>合同签订2个月内，</w:t>
            </w:r>
            <w:r>
              <w:rPr>
                <w:rFonts w:hint="eastAsia"/>
                <w:color w:val="000000" w:themeColor="text1"/>
                <w:szCs w:val="21"/>
                <w14:textFill>
                  <w14:solidFill>
                    <w14:schemeClr w14:val="tx1"/>
                  </w14:solidFill>
                </w14:textFill>
              </w:rPr>
              <w:t>完成通电实验，并具备使用条件。</w:t>
            </w:r>
          </w:p>
        </w:tc>
      </w:tr>
      <w:tr w14:paraId="569D6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0" w:hRule="atLeast"/>
          <w:jc w:val="center"/>
        </w:trPr>
        <w:tc>
          <w:tcPr>
            <w:tcW w:w="651" w:type="pct"/>
            <w:vAlign w:val="center"/>
          </w:tcPr>
          <w:p w14:paraId="353FF27B">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71462136">
            <w:pPr>
              <w:snapToGrid w:val="0"/>
              <w:rPr>
                <w:rFonts w:eastAsia="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为保证工期，施工方应充分考虑天气原因、施工条件、雨季施工措施，确保按时送电。</w:t>
            </w:r>
          </w:p>
        </w:tc>
      </w:tr>
      <w:tr w14:paraId="4F9C7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2" w:hRule="atLeast"/>
          <w:jc w:val="center"/>
        </w:trPr>
        <w:tc>
          <w:tcPr>
            <w:tcW w:w="651" w:type="pct"/>
            <w:vAlign w:val="center"/>
          </w:tcPr>
          <w:p w14:paraId="2C3638B0">
            <w:pPr>
              <w:numPr>
                <w:ilvl w:val="0"/>
                <w:numId w:val="1"/>
              </w:numPr>
              <w:snapToGrid w:val="0"/>
              <w:rPr>
                <w:rFonts w:ascii="Arial" w:hAnsi="Arial" w:cs="Arial"/>
                <w:color w:val="000000" w:themeColor="text1"/>
                <w:szCs w:val="21"/>
                <w14:textFill>
                  <w14:solidFill>
                    <w14:schemeClr w14:val="tx1"/>
                  </w14:solidFill>
                </w14:textFill>
              </w:rPr>
            </w:pPr>
            <w:bookmarkStart w:id="1" w:name="_Hlk224113768"/>
          </w:p>
        </w:tc>
        <w:tc>
          <w:tcPr>
            <w:tcW w:w="4348" w:type="pct"/>
            <w:vAlign w:val="center"/>
          </w:tcPr>
          <w:p w14:paraId="372989E9">
            <w:pPr>
              <w:snapToGrid w:val="0"/>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本次施工涉及10kV高压柜主要包括：主受柜2台，变压器柜4台，10kV电机控制柜4台，电容器柜2台，</w:t>
            </w:r>
            <w:r>
              <w:rPr>
                <w:rFonts w:hint="eastAsia" w:cs="Arial"/>
                <w:color w:val="000000" w:themeColor="text1"/>
                <w:szCs w:val="21"/>
                <w14:textFill>
                  <w14:solidFill>
                    <w14:schemeClr w14:val="tx1"/>
                  </w14:solidFill>
                </w14:textFill>
              </w:rPr>
              <w:t>电能质量监控系统终端及后台控制柜</w:t>
            </w:r>
            <w:r>
              <w:rPr>
                <w:rFonts w:hint="eastAsia" w:cs="思源黑体" w:asciiTheme="majorEastAsia" w:hAnsiTheme="majorEastAsia" w:eastAsiaTheme="majorEastAsia"/>
                <w:color w:val="000000"/>
              </w:rPr>
              <w:t>（含操作电脑）</w:t>
            </w:r>
            <w:r>
              <w:rPr>
                <w:rFonts w:hint="eastAsia" w:cs="Arial"/>
                <w:color w:val="000000" w:themeColor="text1"/>
                <w:szCs w:val="21"/>
                <w14:textFill>
                  <w14:solidFill>
                    <w14:schemeClr w14:val="tx1"/>
                  </w14:solidFill>
                </w14:textFill>
              </w:rPr>
              <w:t>。</w:t>
            </w:r>
          </w:p>
        </w:tc>
      </w:tr>
      <w:bookmarkEnd w:id="1"/>
      <w:tr w14:paraId="3D7AC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10E32753">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75684DBA">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现阶段仅 1# 电源侧计量柜配置有供电部门（电业局）备案的负控计量装置并正常运行；2# 电源侧计量设备已失效。</w:t>
            </w:r>
            <w:r>
              <w:rPr>
                <w:color w:val="000000" w:themeColor="text1"/>
                <w:szCs w:val="21"/>
                <w14:textFill>
                  <w14:solidFill>
                    <w14:schemeClr w14:val="tx1"/>
                  </w14:solidFill>
                </w14:textFill>
              </w:rPr>
              <w:t xml:space="preserve">若施工涉及 </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 电源侧计量系统的使用</w:t>
            </w:r>
            <w:r>
              <w:rPr>
                <w:rFonts w:hint="eastAsia"/>
                <w:color w:val="000000" w:themeColor="text1"/>
                <w:szCs w:val="21"/>
                <w14:textFill>
                  <w14:solidFill>
                    <w14:schemeClr w14:val="tx1"/>
                  </w14:solidFill>
                </w14:textFill>
              </w:rPr>
              <w:t>，施工单位须在施工方案中明确 2# 电源侧计量系统恢复及计量设备迁移（加装）方案，并办理相关手续。</w:t>
            </w:r>
          </w:p>
        </w:tc>
      </w:tr>
      <w:tr w14:paraId="03FD8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571" w:hRule="atLeast"/>
          <w:jc w:val="center"/>
        </w:trPr>
        <w:tc>
          <w:tcPr>
            <w:tcW w:w="651" w:type="pct"/>
            <w:vAlign w:val="center"/>
          </w:tcPr>
          <w:p w14:paraId="7927B8C5">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03E85B26">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鉴于本项目负荷的重要性，本次改造施工应在确保安全的基础上，以保障生产连续性为前提。施工期间，应保证10kV系统Ⅰ段或Ⅱ段母线至少有一段处于带电运行状态，以满足生产用电需求。施工单位所提供施工方案须尽量压减进线电源全停时间。对涉及全站停电的作业，施工方案中必须明确停电次数和每次停电时长，经建设单位同意后纳入计划停电安排。施工方案需包含保证水厂连续生产相关措施。除经批准的计划停电或不可抗力因素外，施工过程中不得发生因施工单位原因导致的非计划性全站停电。如发生上述情形，由此产生的一切经济损失及相关责任由施工单位承担。</w:t>
            </w:r>
          </w:p>
        </w:tc>
      </w:tr>
      <w:tr w14:paraId="4D26A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95" w:hRule="atLeast"/>
          <w:jc w:val="center"/>
        </w:trPr>
        <w:tc>
          <w:tcPr>
            <w:tcW w:w="651" w:type="pct"/>
            <w:vAlign w:val="center"/>
          </w:tcPr>
          <w:p w14:paraId="2E16D822">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3D6E57AF">
            <w:pPr>
              <w:snapToGrid w:val="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2#电源进线侧部分柜体（包括但不限于：2#电源进线柜、2#电压互感器柜、2#主受柜、2#计量柜等）由于长时间未投运，施工前必须对上述柜体进行全面的绝缘试验、交流耐压试验、回路电阻测试及继电保护传动试验，并出具具有法律效力的试验报告并提供完整的施工方案。若检测过程中发现元器件损坏需要更换情况，由我单位负责材料购买，施工单位负责安装、接线。</w:t>
            </w:r>
          </w:p>
        </w:tc>
      </w:tr>
      <w:tr w14:paraId="3936F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7" w:hRule="atLeast"/>
          <w:jc w:val="center"/>
        </w:trPr>
        <w:tc>
          <w:tcPr>
            <w:tcW w:w="651" w:type="pct"/>
            <w:vAlign w:val="center"/>
          </w:tcPr>
          <w:p w14:paraId="79E5AD9D">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3A84A802">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项目施工、试运行直至工程验收，如因施工单位未及时办理供电手续、违规用电、越过计量装置用电或其他违反电力管理规定的行为，导致建设单位被供电部门认定为违规用电、未计量用电或其他违法情形的，由此产生的全部责任，包括但不限于：</w:t>
            </w:r>
          </w:p>
          <w:p w14:paraId="0E2E1CE3">
            <w:pPr>
              <w:pStyle w:val="14"/>
              <w:numPr>
                <w:ilvl w:val="0"/>
                <w:numId w:val="2"/>
              </w:numPr>
              <w:snapToGrid w:val="0"/>
              <w:ind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追缴电费</w:t>
            </w:r>
          </w:p>
          <w:p w14:paraId="1A16E0DF">
            <w:pPr>
              <w:pStyle w:val="14"/>
              <w:numPr>
                <w:ilvl w:val="0"/>
                <w:numId w:val="2"/>
              </w:numPr>
              <w:snapToGrid w:val="0"/>
              <w:ind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违约使用费</w:t>
            </w:r>
          </w:p>
          <w:p w14:paraId="7ABD8B86">
            <w:pPr>
              <w:pStyle w:val="14"/>
              <w:numPr>
                <w:ilvl w:val="0"/>
                <w:numId w:val="2"/>
              </w:numPr>
              <w:snapToGrid w:val="0"/>
              <w:ind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行政罚款</w:t>
            </w:r>
          </w:p>
          <w:p w14:paraId="549E7C94">
            <w:pPr>
              <w:pStyle w:val="14"/>
              <w:numPr>
                <w:ilvl w:val="0"/>
                <w:numId w:val="2"/>
              </w:numPr>
              <w:snapToGrid w:val="0"/>
              <w:ind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滞纳金</w:t>
            </w:r>
          </w:p>
          <w:p w14:paraId="5F1E1EFE">
            <w:pPr>
              <w:pStyle w:val="14"/>
              <w:numPr>
                <w:ilvl w:val="0"/>
                <w:numId w:val="2"/>
              </w:numPr>
              <w:snapToGrid w:val="0"/>
              <w:ind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停电损失</w:t>
            </w:r>
          </w:p>
          <w:p w14:paraId="2197DF53">
            <w:pPr>
              <w:pStyle w:val="14"/>
              <w:numPr>
                <w:ilvl w:val="0"/>
                <w:numId w:val="2"/>
              </w:numPr>
              <w:snapToGrid w:val="0"/>
              <w:ind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相关经济损失</w:t>
            </w:r>
          </w:p>
          <w:p w14:paraId="7B424AA8">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均由施工单位承担，并负责赔偿建设单位因此遭受的全部损失。</w:t>
            </w:r>
          </w:p>
        </w:tc>
      </w:tr>
      <w:tr w14:paraId="73441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7" w:hRule="atLeast"/>
          <w:jc w:val="center"/>
        </w:trPr>
        <w:tc>
          <w:tcPr>
            <w:tcW w:w="651" w:type="pct"/>
            <w:vAlign w:val="center"/>
          </w:tcPr>
          <w:p w14:paraId="56523AEE">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2869946C">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施工单位须拆除并重新敷设配电所改造范围内所有与本次改造高压柜相关的二次线路，包括但不限于高压柜柜内二次回路、柜间联络线、小母线、直流电源回路、10kV电机散热风扇电源回路以及屏间联络线路等。</w:t>
            </w:r>
          </w:p>
          <w:p w14:paraId="756FC6A0">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更换范围应涵盖涉及改造高压柜柜内、柜外及屏间联络部分的原有二次线路，以及与高压柜运行、保护、控制及信号相关的全部二次回路，包括但不限于工艺联锁回路（如出口阀门状态、水池液位、10kV电机散热风扇状态等）、多地控制回路、变频器控制回路及相关控制线、信号线、测量线、通讯线等。</w:t>
            </w:r>
          </w:p>
          <w:p w14:paraId="2BABA776">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所有相关二次回路原则上应整体更新，不得利旧。确因现场条件限制（如无替换件等）需利旧的，须经建设单位书面批准后方可实施。</w:t>
            </w:r>
          </w:p>
        </w:tc>
      </w:tr>
      <w:tr w14:paraId="516E3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7" w:hRule="atLeast"/>
          <w:jc w:val="center"/>
        </w:trPr>
        <w:tc>
          <w:tcPr>
            <w:tcW w:w="651" w:type="pct"/>
            <w:vAlign w:val="center"/>
          </w:tcPr>
          <w:p w14:paraId="3975A324">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1CADF553">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增加4个高压电机风扇控制箱，敷设电机风扇负荷线、电源线（包含从低压柜至风扇控制箱、控制箱至现场风扇），并将风扇运行故障信号接入电机跳闸回路。</w:t>
            </w:r>
          </w:p>
        </w:tc>
      </w:tr>
      <w:tr w14:paraId="3F88D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7" w:hRule="atLeast"/>
          <w:jc w:val="center"/>
        </w:trPr>
        <w:tc>
          <w:tcPr>
            <w:tcW w:w="651" w:type="pct"/>
            <w:vAlign w:val="center"/>
          </w:tcPr>
          <w:p w14:paraId="473D5139">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1661C32A">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鉴于本次改造涉及的高、低压系统运行多年，历经多次维修改造，建设单位提供的现有图纸仅作为参考使用。投标人应对现场实际功能及线路走向进行全面校核，并对本变电所、送水车间及操作台控制室内所有涉及工艺及生产运行的二次回路进行全面核对、完善，</w:t>
            </w:r>
            <w:r>
              <w:rPr>
                <w:color w:val="000000" w:themeColor="text1"/>
                <w:szCs w:val="21"/>
                <w14:textFill>
                  <w14:solidFill>
                    <w14:schemeClr w14:val="tx1"/>
                  </w14:solidFill>
                </w14:textFill>
              </w:rPr>
              <w:t>以现有操作台的实际接线及端子接点</w:t>
            </w:r>
            <w:r>
              <w:rPr>
                <w:rFonts w:hint="eastAsia"/>
                <w:color w:val="000000" w:themeColor="text1"/>
                <w:szCs w:val="21"/>
                <w14:textFill>
                  <w14:solidFill>
                    <w14:schemeClr w14:val="tx1"/>
                  </w14:solidFill>
                </w14:textFill>
              </w:rPr>
              <w:t>功能</w:t>
            </w:r>
            <w:r>
              <w:rPr>
                <w:color w:val="000000" w:themeColor="text1"/>
                <w:szCs w:val="21"/>
                <w14:textFill>
                  <w14:solidFill>
                    <w14:schemeClr w14:val="tx1"/>
                  </w14:solidFill>
                </w14:textFill>
              </w:rPr>
              <w:t>为准</w:t>
            </w:r>
            <w:r>
              <w:rPr>
                <w:rFonts w:hint="eastAsia"/>
                <w:color w:val="000000" w:themeColor="text1"/>
                <w:szCs w:val="21"/>
                <w14:textFill>
                  <w14:solidFill>
                    <w14:schemeClr w14:val="tx1"/>
                  </w14:solidFill>
                </w14:textFill>
              </w:rPr>
              <w:t>，并重新出具相关电气原理图、接线图纸。对变电所内未列入本次改造范围的其他柜体、接点，投标人也应补充完善其电气原理图、接线图等相关技术资料。</w:t>
            </w:r>
          </w:p>
        </w:tc>
      </w:tr>
      <w:tr w14:paraId="03580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7" w:hRule="atLeast"/>
          <w:jc w:val="center"/>
        </w:trPr>
        <w:tc>
          <w:tcPr>
            <w:tcW w:w="651" w:type="pct"/>
            <w:vAlign w:val="center"/>
          </w:tcPr>
          <w:p w14:paraId="6FA2D8E0">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38C50CA6">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更换报警屏、信号屏，整合所有仪表信号及报警信号及相应负荷线，更换避雷器为一体式</w:t>
            </w:r>
          </w:p>
        </w:tc>
      </w:tr>
      <w:tr w14:paraId="7D028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7" w:hRule="atLeast"/>
          <w:jc w:val="center"/>
        </w:trPr>
        <w:tc>
          <w:tcPr>
            <w:tcW w:w="651" w:type="pct"/>
            <w:vAlign w:val="center"/>
          </w:tcPr>
          <w:p w14:paraId="54D92DA1">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2AB85786">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过程中拆除的导线、电缆、断路器及其他电气设备及材料，均由施工单位负责分类整理、装运，并运送至建设单位指定地点。搬运、装卸、运输及过程中产生的全部费用由施工单位承担，并应确保物资完好移交。</w:t>
            </w:r>
          </w:p>
        </w:tc>
      </w:tr>
      <w:tr w14:paraId="16DFF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5F331160">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17535FCC">
            <w:p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工程施工完成后，施工单位应对施工过程中破坏的厂区的道路、绿化、管井、地下管线等相关设施进行恢复。</w:t>
            </w:r>
          </w:p>
        </w:tc>
      </w:tr>
      <w:tr w14:paraId="36083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000" w:type="pct"/>
            <w:gridSpan w:val="2"/>
            <w:vAlign w:val="center"/>
          </w:tcPr>
          <w:p w14:paraId="5590FB5E">
            <w:pPr>
              <w:pStyle w:val="2"/>
              <w:keepNext w:val="0"/>
              <w:keepLines w:val="0"/>
              <w:widowControl w:val="0"/>
              <w:snapToGrid w:val="0"/>
              <w:spacing w:before="0" w:after="0" w:line="240" w:lineRule="auto"/>
              <w:jc w:val="both"/>
              <w:rPr>
                <w:rFonts w:cs="Arial"/>
                <w:color w:val="000000" w:themeColor="text1"/>
                <w:sz w:val="21"/>
                <w:szCs w:val="21"/>
                <w:lang w:eastAsia="zh-CN"/>
                <w14:textFill>
                  <w14:solidFill>
                    <w14:schemeClr w14:val="tx1"/>
                  </w14:solidFill>
                </w14:textFill>
              </w:rPr>
            </w:pPr>
            <w:r>
              <w:rPr>
                <w:rFonts w:hint="eastAsia" w:cs="Arial"/>
                <w:color w:val="000000" w:themeColor="text1"/>
                <w:sz w:val="21"/>
                <w:szCs w:val="21"/>
                <w:lang w:eastAsia="zh-CN"/>
                <w14:textFill>
                  <w14:solidFill>
                    <w14:schemeClr w14:val="tx1"/>
                  </w14:solidFill>
                </w14:textFill>
              </w:rPr>
              <w:t>2.2施工图纸设计要求</w:t>
            </w:r>
          </w:p>
        </w:tc>
      </w:tr>
      <w:tr w14:paraId="6BBF7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2041D859">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723D3D9E">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本设计范围：</w:t>
            </w:r>
          </w:p>
          <w:p w14:paraId="3271D182">
            <w:pPr>
              <w:numPr>
                <w:ilvl w:val="0"/>
                <w:numId w:val="3"/>
              </w:num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高压10KV电气图纸设计；</w:t>
            </w:r>
          </w:p>
          <w:p w14:paraId="32CABE96">
            <w:pPr>
              <w:numPr>
                <w:ilvl w:val="0"/>
                <w:numId w:val="3"/>
              </w:num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涉及改造的高压柜柜内、柜外及屏间联络部分的小母线、直流电源线等二次线路以及10kV电机散热风扇电源回路。高压柜运行、保护、控制及信号相关的全部二次回路，包括但不限于工艺联锁回路（如出口阀门状态、水池液位、10kV电机散热风扇状态等）、多地控制回路、变频器控制回路，以及相关控制线、信号线、测量线、通讯线回路等。</w:t>
            </w:r>
          </w:p>
          <w:p w14:paraId="4BCC36D6">
            <w:pPr>
              <w:numPr>
                <w:ilvl w:val="0"/>
                <w:numId w:val="3"/>
              </w:num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所有设计图纸须经建设单位审核同意后方可实施。</w:t>
            </w:r>
          </w:p>
          <w:p w14:paraId="19159345">
            <w:pPr>
              <w:snapToGrid w:val="0"/>
              <w:ind w:left="360"/>
              <w:rPr>
                <w:color w:val="000000" w:themeColor="text1"/>
                <w:szCs w:val="21"/>
                <w14:textFill>
                  <w14:solidFill>
                    <w14:schemeClr w14:val="tx1"/>
                  </w14:solidFill>
                </w14:textFill>
              </w:rPr>
            </w:pPr>
          </w:p>
        </w:tc>
      </w:tr>
      <w:tr w14:paraId="38662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000" w:type="pct"/>
            <w:gridSpan w:val="2"/>
            <w:vAlign w:val="center"/>
          </w:tcPr>
          <w:p w14:paraId="5DF5C3D2">
            <w:pPr>
              <w:pStyle w:val="2"/>
              <w:keepNext w:val="0"/>
              <w:keepLines w:val="0"/>
              <w:widowControl w:val="0"/>
              <w:snapToGrid w:val="0"/>
              <w:spacing w:before="0" w:after="0" w:line="240" w:lineRule="auto"/>
              <w:jc w:val="both"/>
              <w:rPr>
                <w:rFonts w:cs="Arial"/>
                <w:color w:val="000000" w:themeColor="text1"/>
                <w:sz w:val="21"/>
                <w:szCs w:val="21"/>
                <w:lang w:eastAsia="zh-CN"/>
                <w14:textFill>
                  <w14:solidFill>
                    <w14:schemeClr w14:val="tx1"/>
                  </w14:solidFill>
                </w14:textFill>
              </w:rPr>
            </w:pPr>
            <w:r>
              <w:rPr>
                <w:rFonts w:hint="eastAsia" w:cs="Arial"/>
                <w:color w:val="000000" w:themeColor="text1"/>
                <w:sz w:val="21"/>
                <w:szCs w:val="21"/>
                <w:lang w:eastAsia="zh-CN"/>
                <w14:textFill>
                  <w14:solidFill>
                    <w14:schemeClr w14:val="tx1"/>
                  </w14:solidFill>
                </w14:textFill>
              </w:rPr>
              <w:t>2.3 电能质量监控及后台操作设计</w:t>
            </w:r>
          </w:p>
        </w:tc>
      </w:tr>
      <w:tr w14:paraId="7894A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0D44B99A">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2091130D">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主要负责硬件搭设，设计电能质量监控仪表，智能化仪表及智能化电气元件的施工，负责连接通讯接口，高低压配电柜、变压器、直流屏、变频器设计通讯走线。</w:t>
            </w:r>
          </w:p>
        </w:tc>
      </w:tr>
      <w:tr w14:paraId="2BA5B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60BDCD50">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6C7A51EC">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保留原控制室操作台，保留原有按键及仪表功能。重新敷设四台电机高压柜至操作台控制线路。</w:t>
            </w:r>
          </w:p>
        </w:tc>
      </w:tr>
      <w:tr w14:paraId="18386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3C439CA2">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08DCC32E">
            <w:pPr>
              <w:snapToGrid w:val="0"/>
              <w:rPr>
                <w:color w:val="000000" w:themeColor="text1"/>
                <w:szCs w:val="2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实现</w:t>
            </w:r>
            <w:r>
              <w:rPr>
                <w:rFonts w:ascii="宋体" w:hAnsi="宋体" w:eastAsia="宋体" w:cs="Times New Roman"/>
                <w:color w:val="000000" w:themeColor="text1"/>
                <w14:textFill>
                  <w14:solidFill>
                    <w14:schemeClr w14:val="tx1"/>
                  </w14:solidFill>
                </w14:textFill>
              </w:rPr>
              <w:t>动态显示 10kV 全站一次接线图、各断路器/手车/接地刀状态</w:t>
            </w:r>
          </w:p>
        </w:tc>
      </w:tr>
      <w:tr w14:paraId="261B1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0D4365A9">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6D9FCA26">
            <w:pPr>
              <w:snapToGrid w:val="0"/>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后台操作</w:t>
            </w:r>
            <w:r>
              <w:rPr>
                <w:rFonts w:ascii="宋体" w:hAnsi="宋体" w:eastAsia="宋体" w:cs="Times New Roman"/>
                <w:color w:val="000000" w:themeColor="text1"/>
                <w14:textFill>
                  <w14:solidFill>
                    <w14:schemeClr w14:val="tx1"/>
                  </w14:solidFill>
                </w14:textFill>
              </w:rPr>
              <w:t>系统应具备对高压断路器进行远程分</w:t>
            </w:r>
            <w:r>
              <w:rPr>
                <w:rFonts w:hint="eastAsia" w:ascii="宋体" w:hAnsi="宋体" w:eastAsia="宋体" w:cs="Times New Roman"/>
                <w:color w:val="000000" w:themeColor="text1"/>
                <w14:textFill>
                  <w14:solidFill>
                    <w14:schemeClr w14:val="tx1"/>
                  </w14:solidFill>
                </w14:textFill>
              </w:rPr>
              <w:t>合闸操作，自动记录保护动作、事故跳闸、开关位移及变频器故障等信息。</w:t>
            </w:r>
          </w:p>
        </w:tc>
      </w:tr>
      <w:tr w14:paraId="2CA23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0B740E7A">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7E5C0E6C">
            <w:pPr>
              <w:snapToGrid w:val="0"/>
              <w:rPr>
                <w:rFonts w:hint="eastAsia"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将原操作台以及就地所有的二次控制线、信号线、测量线全部并入后台综合控制屏，并外接声光报警器装置，方便运行人员监控监测。</w:t>
            </w:r>
          </w:p>
        </w:tc>
      </w:tr>
      <w:tr w14:paraId="527B7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308349B3">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37AF1312">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记录综保装置、变频器以及断路器的告警、故障信息报文。</w:t>
            </w:r>
          </w:p>
        </w:tc>
      </w:tr>
      <w:tr w14:paraId="58A38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4821BED1">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51A240F9">
            <w:pPr>
              <w:snapToGrid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事件记录方便运维人员查看分析设备如断路器合分、电流电压越限告警、故障告警、短信日志、平台运行日志等记录。</w:t>
            </w:r>
          </w:p>
        </w:tc>
      </w:tr>
      <w:tr w14:paraId="29117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35933623">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6B90B235">
            <w:pPr>
              <w:snapToGrid w:val="0"/>
              <w:rPr>
                <w:rFonts w:ascii="Times New Roman" w:hAnsi="Times New Roman" w:eastAsia="宋体" w:cs="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记录10KV闪变，电压骤降、骤升等数据采集及实时监视测量。</w:t>
            </w:r>
          </w:p>
        </w:tc>
      </w:tr>
      <w:tr w14:paraId="3E0A9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6B1680C8">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68F9440E">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新装报警屏、信号屏（含负荷线），整合仪表信号及报警信号。</w:t>
            </w:r>
          </w:p>
        </w:tc>
      </w:tr>
      <w:tr w14:paraId="58F76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4FABCE40">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01A17F5F">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一二三四号电机温控线敷设，将温控监视及报警接入报警屏、信号屏。</w:t>
            </w:r>
          </w:p>
        </w:tc>
      </w:tr>
      <w:tr w14:paraId="60598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000" w:type="pct"/>
            <w:gridSpan w:val="2"/>
            <w:vAlign w:val="center"/>
          </w:tcPr>
          <w:p w14:paraId="2F796D0E">
            <w:pPr>
              <w:pStyle w:val="2"/>
              <w:keepNext w:val="0"/>
              <w:keepLines w:val="0"/>
              <w:widowControl w:val="0"/>
              <w:snapToGrid w:val="0"/>
              <w:spacing w:before="0" w:after="0" w:line="240" w:lineRule="auto"/>
              <w:jc w:val="both"/>
              <w:rPr>
                <w:rFonts w:cs="Arial"/>
                <w:color w:val="000000" w:themeColor="text1"/>
                <w:sz w:val="21"/>
                <w:szCs w:val="21"/>
                <w:lang w:eastAsia="zh-CN"/>
                <w14:textFill>
                  <w14:solidFill>
                    <w14:schemeClr w14:val="tx1"/>
                  </w14:solidFill>
                </w14:textFill>
              </w:rPr>
            </w:pPr>
            <w:r>
              <w:rPr>
                <w:rFonts w:hint="eastAsia" w:cs="Arial"/>
                <w:color w:val="000000" w:themeColor="text1"/>
                <w:sz w:val="21"/>
                <w:szCs w:val="21"/>
                <w:lang w:eastAsia="zh-CN"/>
                <w14:textFill>
                  <w14:solidFill>
                    <w14:schemeClr w14:val="tx1"/>
                  </w14:solidFill>
                </w14:textFill>
              </w:rPr>
              <w:t>2.4 高压柜要求</w:t>
            </w:r>
          </w:p>
        </w:tc>
      </w:tr>
      <w:tr w14:paraId="21831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7BD4781D">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2110EDE4">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整体</w:t>
            </w:r>
            <w:r>
              <w:rPr>
                <w:color w:val="000000" w:themeColor="text1"/>
                <w:szCs w:val="21"/>
                <w14:textFill>
                  <w14:solidFill>
                    <w14:schemeClr w14:val="tx1"/>
                  </w14:solidFill>
                </w14:textFill>
              </w:rPr>
              <w:t>设计应能使设备安全地进行下述各项工作：正常运行、检查</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维护操作</w:t>
            </w:r>
            <w:r>
              <w:rPr>
                <w:rFonts w:hint="eastAsia"/>
                <w:color w:val="000000" w:themeColor="text1"/>
                <w:szCs w:val="21"/>
                <w14:textFill>
                  <w14:solidFill>
                    <w14:schemeClr w14:val="tx1"/>
                  </w14:solidFill>
                </w14:textFill>
              </w:rPr>
              <w:t>、主回路验电、</w:t>
            </w:r>
            <w:r>
              <w:rPr>
                <w:color w:val="000000" w:themeColor="text1"/>
                <w:szCs w:val="21"/>
                <w14:textFill>
                  <w14:solidFill>
                    <w14:schemeClr w14:val="tx1"/>
                  </w14:solidFill>
                </w14:textFill>
              </w:rPr>
              <w:t>安装和（或）扩建后的相序校核和操作联锁</w:t>
            </w:r>
            <w:r>
              <w:rPr>
                <w:rFonts w:hint="eastAsia"/>
                <w:color w:val="000000" w:themeColor="text1"/>
                <w:szCs w:val="21"/>
                <w14:textFill>
                  <w14:solidFill>
                    <w14:schemeClr w14:val="tx1"/>
                  </w14:solidFill>
                </w14:textFill>
              </w:rPr>
              <w:t>、连接</w:t>
            </w:r>
            <w:r>
              <w:rPr>
                <w:color w:val="000000" w:themeColor="text1"/>
                <w:szCs w:val="21"/>
                <w14:textFill>
                  <w14:solidFill>
                    <w14:schemeClr w14:val="tx1"/>
                  </w14:solidFill>
                </w14:textFill>
              </w:rPr>
              <w:t>电缆</w:t>
            </w:r>
            <w:r>
              <w:rPr>
                <w:rFonts w:hint="eastAsia"/>
                <w:color w:val="000000" w:themeColor="text1"/>
                <w:szCs w:val="21"/>
                <w14:textFill>
                  <w14:solidFill>
                    <w14:schemeClr w14:val="tx1"/>
                  </w14:solidFill>
                </w14:textFill>
              </w:rPr>
              <w:t>的接地、电缆试验、连接电缆</w:t>
            </w:r>
            <w:r>
              <w:rPr>
                <w:color w:val="000000" w:themeColor="text1"/>
                <w:szCs w:val="21"/>
                <w14:textFill>
                  <w14:solidFill>
                    <w14:schemeClr w14:val="tx1"/>
                  </w14:solidFill>
                </w14:textFill>
              </w:rPr>
              <w:t>或其他</w:t>
            </w:r>
            <w:r>
              <w:rPr>
                <w:rFonts w:hint="eastAsia"/>
                <w:color w:val="000000" w:themeColor="text1"/>
                <w:szCs w:val="21"/>
                <w14:textFill>
                  <w14:solidFill>
                    <w14:schemeClr w14:val="tx1"/>
                  </w14:solidFill>
                </w14:textFill>
              </w:rPr>
              <w:t>器件</w:t>
            </w:r>
            <w:r>
              <w:rPr>
                <w:color w:val="000000" w:themeColor="text1"/>
                <w:szCs w:val="21"/>
                <w14:textFill>
                  <w14:solidFill>
                    <w14:schemeClr w14:val="tx1"/>
                  </w14:solidFill>
                </w14:textFill>
              </w:rPr>
              <w:t>的绝缘试验</w:t>
            </w:r>
            <w:r>
              <w:rPr>
                <w:rFonts w:hint="eastAsia"/>
                <w:color w:val="000000" w:themeColor="text1"/>
                <w:szCs w:val="21"/>
                <w14:textFill>
                  <w14:solidFill>
                    <w14:schemeClr w14:val="tx1"/>
                  </w14:solidFill>
                </w14:textFill>
              </w:rPr>
              <w:t>以及</w:t>
            </w:r>
            <w:r>
              <w:rPr>
                <w:color w:val="000000" w:themeColor="text1"/>
                <w:szCs w:val="21"/>
                <w14:textFill>
                  <w14:solidFill>
                    <w14:schemeClr w14:val="tx1"/>
                  </w14:solidFill>
                </w14:textFill>
              </w:rPr>
              <w:t>消除危险的静电电荷等。</w:t>
            </w:r>
          </w:p>
        </w:tc>
      </w:tr>
      <w:tr w14:paraId="381B0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1C134277">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2CCC230C">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高压柜需提供型式报告。</w:t>
            </w:r>
          </w:p>
        </w:tc>
      </w:tr>
      <w:tr w14:paraId="4F056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076FC465">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43057E3B">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要求柜体改造为三段式柜门，采用中置开关。</w:t>
            </w:r>
          </w:p>
        </w:tc>
      </w:tr>
      <w:tr w14:paraId="72835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3C34EAD6">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61401570">
            <w:pPr>
              <w:snapToGrid w:val="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每台高压柜综合保护表数据</w:t>
            </w:r>
            <w:r>
              <w:rPr>
                <w:rFonts w:hint="eastAsia" w:ascii="宋体" w:hAnsi="宋体"/>
                <w:color w:val="000000" w:themeColor="text1"/>
                <w:kern w:val="0"/>
                <w:szCs w:val="21"/>
                <w14:textFill>
                  <w14:solidFill>
                    <w14:schemeClr w14:val="tx1"/>
                  </w14:solidFill>
                </w14:textFill>
              </w:rPr>
              <w:t>支持</w:t>
            </w:r>
            <w:r>
              <w:rPr>
                <w:rFonts w:hint="eastAsia" w:ascii="Times New Roman" w:hAnsi="Times New Roman" w:eastAsia="宋体" w:cs="Times New Roman"/>
                <w:color w:val="000000" w:themeColor="text1"/>
                <w:szCs w:val="21"/>
                <w14:textFill>
                  <w14:solidFill>
                    <w14:schemeClr w14:val="tx1"/>
                  </w14:solidFill>
                </w14:textFill>
              </w:rPr>
              <w:t>实时上传到后台，并支持本工程结束后，我单位</w:t>
            </w:r>
            <w:r>
              <w:rPr>
                <w:rFonts w:hint="eastAsia" w:ascii="宋体" w:hAnsi="宋体"/>
                <w:color w:val="000000" w:themeColor="text1"/>
                <w:kern w:val="0"/>
                <w:szCs w:val="21"/>
                <w14:textFill>
                  <w14:solidFill>
                    <w14:schemeClr w14:val="tx1"/>
                  </w14:solidFill>
                </w14:textFill>
              </w:rPr>
              <w:t>后期自动化改造时上传到值班平台</w:t>
            </w:r>
            <w:r>
              <w:rPr>
                <w:rFonts w:hint="eastAsia" w:ascii="Times New Roman" w:hAnsi="Times New Roman" w:eastAsia="宋体" w:cs="Times New Roman"/>
                <w:color w:val="000000" w:themeColor="text1"/>
                <w:szCs w:val="21"/>
                <w14:textFill>
                  <w14:solidFill>
                    <w14:schemeClr w14:val="tx1"/>
                  </w14:solidFill>
                </w14:textFill>
              </w:rPr>
              <w:t>（电流、电压、电量等）。</w:t>
            </w:r>
          </w:p>
        </w:tc>
      </w:tr>
      <w:tr w14:paraId="16827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1D8AFD09">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7819F2BF">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可抽出部件应接地的金属部件，在试验位置、隔离位置及任何中间位置均应保持接地。</w:t>
            </w:r>
          </w:p>
        </w:tc>
      </w:tr>
      <w:tr w14:paraId="59566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33040BD4">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3D469F34">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可移开部件应接地的金属部件，在插入和抽出过程中，在静触头和主回路的可移开部件接触之前和分离过程中应接地。</w:t>
            </w:r>
          </w:p>
        </w:tc>
      </w:tr>
      <w:tr w14:paraId="3B9E8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00630F92">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0FD6840A">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开关柜的“五防”和联锁要求：</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按GB/T11022-2020中的规定。</w:t>
            </w:r>
          </w:p>
          <w:p w14:paraId="33941AD2">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开关柜应具有可靠的“五防”功能：防止误分、误合断路器；防止带负荷分、合隔离开关（插头）；防止带电分、合接地刀闸；防止带接地刀闸送电；防止误入带电间隔。</w:t>
            </w:r>
          </w:p>
          <w:p w14:paraId="53D5C40D">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电缆室门与接地刀闸采取机械闭锁方式，并有紧急解锁装置。</w:t>
            </w:r>
          </w:p>
          <w:p w14:paraId="4ACF17CA">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当断路器处在合闸位置时，断路器小车无法推进或拉出。</w:t>
            </w:r>
          </w:p>
          <w:p w14:paraId="05D07DE6">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当断路器小车未到工作或试验位置时，断路器无法进行合闸操作。</w:t>
            </w:r>
          </w:p>
          <w:p w14:paraId="2A7A880B">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当接地刀闸处在合闸位置时，断路器小车无法从试验位置进入工作位置。</w:t>
            </w:r>
          </w:p>
          <w:p w14:paraId="39C1DD45">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当断路器小车处在试验位置与工作位置之间（包括工作位置）时，无法操作接地刀闸。</w:t>
            </w:r>
          </w:p>
          <w:p w14:paraId="73591599">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进出线柜应装有能反映出线侧有无电压，并具有自检功能的带电显示装置。当出线侧带电时，应闭锁操作接地刀闸。</w:t>
            </w:r>
          </w:p>
        </w:tc>
      </w:tr>
      <w:tr w14:paraId="49D08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6376C9D0">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5F292DD7">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五防操作应在通电试运行时，现场实际操作验收，并要求功能全部实现。</w:t>
            </w:r>
          </w:p>
        </w:tc>
      </w:tr>
      <w:tr w14:paraId="74994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7C617735">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42273140">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对母线绝缘支撑件进行更换。</w:t>
            </w:r>
          </w:p>
        </w:tc>
      </w:tr>
      <w:tr w14:paraId="5F700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79CA2C5C">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62073CD8">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对柜内原有避雷器进行更换，要求更换为新型一体式避雷器。</w:t>
            </w:r>
          </w:p>
        </w:tc>
      </w:tr>
      <w:tr w14:paraId="46966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29F0D72A">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4AEB7939">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配电柜制作及线路敷设路径要便于维修维护，安全可靠，而且要求整齐美观。</w:t>
            </w:r>
          </w:p>
        </w:tc>
      </w:tr>
      <w:tr w14:paraId="2F78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5E68D3DA">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769439BE">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线缆穿越伸缩缝、沉降缝时应采取相应的保护措施，线缆中间不得有接头。</w:t>
            </w:r>
          </w:p>
        </w:tc>
      </w:tr>
      <w:tr w14:paraId="005E4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6AC094D3">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791A488D">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控制回路、信号回路、测量回路应分别设置独立的微型断路器进行保护 。断路器应具备辅助触点，当控制电源波动时，必须在监控后台或值班室发出告警信号</w:t>
            </w:r>
          </w:p>
        </w:tc>
      </w:tr>
      <w:tr w14:paraId="0B272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0502EB0E">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5C001B60">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柜内的空开、指示灯、按钮、旋转开关等控制和指示灯元器件须有固定牢固的标签。</w:t>
            </w:r>
          </w:p>
        </w:tc>
      </w:tr>
      <w:tr w14:paraId="1569D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1168A3A6">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765AD352">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涉及改造的控制回路线路应套线号管，标识清晰，箱柜内应贴好对应系统图和控制图。</w:t>
            </w:r>
          </w:p>
        </w:tc>
      </w:tr>
      <w:tr w14:paraId="7AC8C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04F81940">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3CED6858">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更换</w:t>
            </w:r>
            <w:r>
              <w:rPr>
                <w:rFonts w:ascii="Arial" w:hAnsi="Arial" w:cs="Arial"/>
                <w:color w:val="000000" w:themeColor="text1"/>
                <w:szCs w:val="21"/>
                <w14:textFill>
                  <w14:solidFill>
                    <w14:schemeClr w14:val="tx1"/>
                  </w14:solidFill>
                </w14:textFill>
              </w:rPr>
              <w:t>12kV</w:t>
            </w:r>
            <w:r>
              <w:rPr>
                <w:rFonts w:hint="eastAsia"/>
                <w:color w:val="000000" w:themeColor="text1"/>
                <w:szCs w:val="21"/>
                <w14:textFill>
                  <w14:solidFill>
                    <w14:schemeClr w14:val="tx1"/>
                  </w14:solidFill>
                </w14:textFill>
              </w:rPr>
              <w:t>手车式永磁机构真空断路器，要求断路器具备机械寿命长、免维护、操作可靠性高等特点。</w:t>
            </w:r>
          </w:p>
        </w:tc>
      </w:tr>
      <w:tr w14:paraId="76DFA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20DE011E">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7FDDB117">
            <w:pPr>
              <w:snapToGrid w:val="0"/>
              <w:rPr>
                <w:color w:val="000000" w:themeColor="text1"/>
                <w:szCs w:val="21"/>
                <w14:textFill>
                  <w14:solidFill>
                    <w14:schemeClr w14:val="tx1"/>
                  </w14:solidFill>
                </w14:textFill>
              </w:rPr>
            </w:pPr>
            <w:r>
              <w:rPr>
                <w:rFonts w:ascii="宋体" w:hAnsi="宋体" w:eastAsia="宋体" w:cs="Times New Roman"/>
                <w:color w:val="000000" w:themeColor="text1"/>
                <w14:textFill>
                  <w14:solidFill>
                    <w14:schemeClr w14:val="tx1"/>
                  </w14:solidFill>
                </w14:textFill>
              </w:rPr>
              <w:t>真空灭弧室</w:t>
            </w:r>
            <w:r>
              <w:rPr>
                <w:rFonts w:hint="eastAsia" w:ascii="宋体" w:hAnsi="宋体" w:eastAsia="宋体" w:cs="Times New Roman"/>
                <w:color w:val="000000" w:themeColor="text1"/>
                <w:lang w:val="en-US" w:eastAsia="zh-CN"/>
                <w14:textFill>
                  <w14:solidFill>
                    <w14:schemeClr w14:val="tx1"/>
                  </w14:solidFill>
                </w14:textFill>
              </w:rPr>
              <w:t>建议参考</w:t>
            </w:r>
            <w:r>
              <w:rPr>
                <w:rFonts w:ascii="宋体" w:hAnsi="宋体" w:eastAsia="宋体" w:cs="Times New Roman"/>
                <w:color w:val="000000" w:themeColor="text1"/>
                <w14:textFill>
                  <w14:solidFill>
                    <w14:schemeClr w14:val="tx1"/>
                  </w14:solidFill>
                </w14:textFill>
              </w:rPr>
              <w:t>陕西宝光</w:t>
            </w:r>
            <w:r>
              <w:rPr>
                <w:rFonts w:hint="eastAsia" w:ascii="宋体" w:hAnsi="宋体" w:eastAsia="宋体" w:cs="Times New Roman"/>
                <w:color w:val="000000" w:themeColor="text1"/>
                <w:lang w:val="en-US" w:eastAsia="zh-CN"/>
                <w14:textFill>
                  <w14:solidFill>
                    <w14:schemeClr w14:val="tx1"/>
                  </w14:solidFill>
                </w14:textFill>
              </w:rPr>
              <w:t>或同级别品牌</w:t>
            </w:r>
            <w:r>
              <w:rPr>
                <w:rFonts w:ascii="宋体" w:hAnsi="宋体" w:eastAsia="宋体" w:cs="Times New Roman"/>
                <w:color w:val="000000" w:themeColor="text1"/>
                <w14:textFill>
                  <w14:solidFill>
                    <w14:schemeClr w14:val="tx1"/>
                  </w14:solidFill>
                </w14:textFill>
              </w:rPr>
              <w:t>产品</w:t>
            </w:r>
            <w:r>
              <w:rPr>
                <w:rFonts w:hint="eastAsia" w:ascii="宋体" w:hAnsi="宋体" w:eastAsia="宋体" w:cs="Times New Roman"/>
                <w:color w:val="000000" w:themeColor="text1"/>
                <w14:textFill>
                  <w14:solidFill>
                    <w14:schemeClr w14:val="tx1"/>
                  </w14:solidFill>
                </w14:textFill>
              </w:rPr>
              <w:t>。</w:t>
            </w:r>
          </w:p>
        </w:tc>
      </w:tr>
      <w:tr w14:paraId="3E2F4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1E240AFD">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67C65171">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新断路器的合闸控制机构应能适应现有直流系统波动，且改造后Ⅰ、Ⅱ段母线系统中同规格、同型号的手车应实现</w:t>
            </w:r>
            <w:r>
              <w:rPr>
                <w:rFonts w:ascii="Arial" w:hAnsi="Arial" w:cs="Arial"/>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物理与电气互换，确保机构顺畅、定位准确。</w:t>
            </w:r>
          </w:p>
        </w:tc>
      </w:tr>
      <w:tr w14:paraId="12A78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3FF9A373">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6700541B">
            <w:pPr>
              <w:snapToGrid w:val="0"/>
              <w:rPr>
                <w:color w:val="000000" w:themeColor="text1"/>
                <w:szCs w:val="21"/>
                <w14:textFill>
                  <w14:solidFill>
                    <w14:schemeClr w14:val="tx1"/>
                  </w14:solidFill>
                </w14:textFill>
              </w:rPr>
            </w:pPr>
            <w:r>
              <w:rPr>
                <w:rFonts w:hint="eastAsia"/>
                <w:color w:val="000000" w:themeColor="text1"/>
                <w:szCs w:val="21"/>
                <w:highlight w:val="none"/>
                <w14:textFill>
                  <w14:solidFill>
                    <w14:schemeClr w14:val="tx1"/>
                  </w14:solidFill>
                </w14:textFill>
              </w:rPr>
              <w:t>断路器</w:t>
            </w:r>
            <w:r>
              <w:rPr>
                <w:rFonts w:hint="eastAsia"/>
                <w:color w:val="000000" w:themeColor="text1"/>
                <w:szCs w:val="21"/>
                <w:highlight w:val="none"/>
                <w:lang w:val="en-US" w:eastAsia="zh-CN"/>
                <w14:textFill>
                  <w14:solidFill>
                    <w14:schemeClr w14:val="tx1"/>
                  </w14:solidFill>
                </w14:textFill>
              </w:rPr>
              <w:t>更换为永磁真空断路器（建议参考</w:t>
            </w:r>
            <w:r>
              <w:rPr>
                <w:rFonts w:hint="eastAsia"/>
                <w:color w:val="000000" w:themeColor="text1"/>
                <w:szCs w:val="21"/>
                <w:highlight w:val="none"/>
                <w14:textFill>
                  <w14:solidFill>
                    <w14:schemeClr w14:val="tx1"/>
                  </w14:solidFill>
                </w14:textFill>
              </w:rPr>
              <w:t>永大、瀚丰、恒通</w:t>
            </w:r>
            <w:r>
              <w:rPr>
                <w:rFonts w:hint="eastAsia"/>
                <w:color w:val="000000" w:themeColor="text1"/>
                <w:szCs w:val="21"/>
                <w:highlight w:val="none"/>
                <w:lang w:val="en-US" w:eastAsia="zh-CN"/>
                <w14:textFill>
                  <w14:solidFill>
                    <w14:schemeClr w14:val="tx1"/>
                  </w14:solidFill>
                </w14:textFill>
              </w:rPr>
              <w:t>等品牌）</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断路器厂家</w:t>
            </w:r>
            <w:r>
              <w:rPr>
                <w:rFonts w:hint="eastAsia"/>
                <w:color w:val="000000" w:themeColor="text1"/>
                <w:szCs w:val="21"/>
                <w:highlight w:val="none"/>
                <w14:textFill>
                  <w14:solidFill>
                    <w14:schemeClr w14:val="tx1"/>
                  </w14:solidFill>
                </w14:textFill>
              </w:rPr>
              <w:t>技术人员具备1小时内到达现场的应急响应能力。投标单位需对断路器提供大于等于10年的免费质保及零部件更换服务。</w:t>
            </w:r>
          </w:p>
        </w:tc>
      </w:tr>
      <w:tr w14:paraId="434ED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1FFA8E98">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6A3D0DFF">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将现有保护装置升级为国内一线品牌综保（</w:t>
            </w:r>
            <w:r>
              <w:rPr>
                <w:rFonts w:hint="eastAsia"/>
                <w:color w:val="000000" w:themeColor="text1"/>
                <w:szCs w:val="21"/>
                <w:lang w:val="en-US" w:eastAsia="zh-CN"/>
                <w14:textFill>
                  <w14:solidFill>
                    <w14:schemeClr w14:val="tx1"/>
                  </w14:solidFill>
                </w14:textFill>
              </w:rPr>
              <w:t>建议参考</w:t>
            </w:r>
            <w:r>
              <w:rPr>
                <w:rFonts w:hint="eastAsia"/>
                <w:color w:val="000000" w:themeColor="text1"/>
                <w:szCs w:val="21"/>
                <w14:textFill>
                  <w14:solidFill>
                    <w14:schemeClr w14:val="tx1"/>
                  </w14:solidFill>
                </w14:textFill>
              </w:rPr>
              <w:t>南瑞、许继、四方、长园或南自</w:t>
            </w:r>
            <w:r>
              <w:rPr>
                <w:rFonts w:hint="eastAsia"/>
                <w:color w:val="000000" w:themeColor="text1"/>
                <w:szCs w:val="21"/>
                <w:lang w:val="en-US" w:eastAsia="zh-CN"/>
                <w14:textFill>
                  <w14:solidFill>
                    <w14:schemeClr w14:val="tx1"/>
                  </w14:solidFill>
                </w14:textFill>
              </w:rPr>
              <w:t>等品牌</w:t>
            </w:r>
            <w:bookmarkStart w:id="2" w:name="_GoBack"/>
            <w:bookmarkEnd w:id="2"/>
            <w:r>
              <w:rPr>
                <w:rFonts w:hint="eastAsia"/>
                <w:color w:val="000000" w:themeColor="text1"/>
                <w:szCs w:val="21"/>
                <w14:textFill>
                  <w14:solidFill>
                    <w14:schemeClr w14:val="tx1"/>
                  </w14:solidFill>
                </w14:textFill>
              </w:rPr>
              <w:t>），支持 Modbus-RTU 或 IEC61850 协议，并由具有资质单位根据系统实际巡行运行方式出具保护定值单，并进行对应传动试验。</w:t>
            </w:r>
          </w:p>
        </w:tc>
      </w:tr>
      <w:tr w14:paraId="33381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51FED113">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37A79627">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加装智能操控装置，配合综保实现电气五防功能。</w:t>
            </w:r>
          </w:p>
        </w:tc>
      </w:tr>
      <w:tr w14:paraId="500B8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448BCD00">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424444AE">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涉及变频器远程控制及工艺联锁的外引信号线，应加装信号浪涌保护器</w:t>
            </w:r>
            <w:r>
              <w:rPr>
                <w:rFonts w:hint="eastAsia"/>
                <w:color w:val="000000" w:themeColor="text1"/>
                <w:szCs w:val="21"/>
                <w14:textFill>
                  <w14:solidFill>
                    <w14:schemeClr w14:val="tx1"/>
                  </w14:solidFill>
                </w14:textFill>
              </w:rPr>
              <w:t>。</w:t>
            </w:r>
          </w:p>
        </w:tc>
      </w:tr>
      <w:tr w14:paraId="02120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3F1D54A9">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6345A684">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对涉及改造高压柜进行耐压试验、绝缘试验、保护传动等检测试验</w:t>
            </w:r>
            <w:r>
              <w:rPr>
                <w:color w:val="000000" w:themeColor="text1"/>
                <w:szCs w:val="21"/>
                <w:lang w:val="en-AU"/>
                <w14:textFill>
                  <w14:solidFill>
                    <w14:schemeClr w14:val="tx1"/>
                  </w14:solidFill>
                </w14:textFill>
              </w:rPr>
              <w:t>,</w:t>
            </w:r>
            <w:r>
              <w:rPr>
                <w:rFonts w:hint="eastAsia"/>
                <w:color w:val="000000" w:themeColor="text1"/>
                <w:lang w:val="en-AU"/>
                <w14:textFill>
                  <w14:solidFill>
                    <w14:schemeClr w14:val="tx1"/>
                  </w14:solidFill>
                </w14:textFill>
              </w:rPr>
              <w:t>并</w:t>
            </w:r>
            <w:r>
              <w:rPr>
                <w:rFonts w:hint="eastAsia"/>
                <w:color w:val="000000" w:themeColor="text1"/>
                <w:szCs w:val="21"/>
                <w14:textFill>
                  <w14:solidFill>
                    <w14:schemeClr w14:val="tx1"/>
                  </w14:solidFill>
                </w14:textFill>
              </w:rPr>
              <w:t>应在建设单位相关人员见证下进行，并保证试验合格，并出具具有法律效力的试验报告。</w:t>
            </w:r>
          </w:p>
        </w:tc>
      </w:tr>
      <w:tr w14:paraId="45CC4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000" w:type="pct"/>
            <w:gridSpan w:val="2"/>
            <w:vAlign w:val="center"/>
          </w:tcPr>
          <w:p w14:paraId="5BB18F1E">
            <w:pPr>
              <w:pStyle w:val="2"/>
              <w:keepNext w:val="0"/>
              <w:keepLines w:val="0"/>
              <w:widowControl w:val="0"/>
              <w:snapToGrid w:val="0"/>
              <w:spacing w:before="0" w:after="0" w:line="240" w:lineRule="auto"/>
              <w:jc w:val="both"/>
              <w:rPr>
                <w:rFonts w:cs="Arial"/>
                <w:color w:val="000000" w:themeColor="text1"/>
                <w:sz w:val="21"/>
                <w:szCs w:val="21"/>
                <w:lang w:eastAsia="zh-CN"/>
                <w14:textFill>
                  <w14:solidFill>
                    <w14:schemeClr w14:val="tx1"/>
                  </w14:solidFill>
                </w14:textFill>
              </w:rPr>
            </w:pPr>
            <w:r>
              <w:rPr>
                <w:rFonts w:hint="eastAsia" w:cs="Arial"/>
                <w:color w:val="000000" w:themeColor="text1"/>
                <w:sz w:val="21"/>
                <w:szCs w:val="21"/>
                <w:lang w:eastAsia="zh-CN"/>
                <w14:textFill>
                  <w14:solidFill>
                    <w14:schemeClr w14:val="tx1"/>
                  </w14:solidFill>
                </w14:textFill>
              </w:rPr>
              <w:t>2.5其他要求</w:t>
            </w:r>
          </w:p>
        </w:tc>
      </w:tr>
      <w:tr w14:paraId="5677B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3838450F">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61BE23FE">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按钮、指示灯、互感器等各种电气材料应符合国家现行技术标准，并具备产品合格证、检测报告；采用知名企业集团产品；并在制作安装前上报材料清单及样品，防护等级满足设计图纸主材表中的要求。</w:t>
            </w:r>
          </w:p>
        </w:tc>
      </w:tr>
      <w:tr w14:paraId="71CAA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28380114">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078E1BBC">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柜内的控制电缆应排列整齐</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避免交叉</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电缆型号</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规格应符合设计要求</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电缆固定牢靠</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不得使所接端子排受到机械应力</w:t>
            </w:r>
            <w:r>
              <w:rPr>
                <w:rFonts w:hint="eastAsia"/>
                <w:color w:val="000000" w:themeColor="text1"/>
                <w:szCs w:val="21"/>
                <w14:textFill>
                  <w14:solidFill>
                    <w14:schemeClr w14:val="tx1"/>
                  </w14:solidFill>
                </w14:textFill>
              </w:rPr>
              <w:t>。</w:t>
            </w:r>
          </w:p>
        </w:tc>
      </w:tr>
      <w:tr w14:paraId="67096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4591CFC2">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05DC1474">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控制线路端子选用知名品牌接线端子（如公牛、正泰或德力西）。</w:t>
            </w:r>
          </w:p>
        </w:tc>
      </w:tr>
      <w:tr w14:paraId="7EE59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72AE6DB2">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28B33ADB">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二次回路必须采用耐火塑料导线，不能有接头，接头用压接接线端子，端子号用专用打字机打印编号永不褪色。标明回路编号和用途。</w:t>
            </w:r>
          </w:p>
        </w:tc>
      </w:tr>
      <w:tr w14:paraId="55438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4509947C">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1B9243E6">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应充分评估改造线路（包括控制、信号、测量及通讯线路）的电磁兼容性，通过优化敷设路径、采用屏蔽电缆及必要的抗干扰措施，确保信号传输的可靠性与稳定性。所有控制回路、继电保护回路、信号回路、测量及仪表回路及通讯回路等二次系统线路，均应与高、低压动力电缆分开敷设，采用独立桥架沿墙敷设或其他独立路径布置，严禁与动力电缆同桥架、同沟敷设。</w:t>
            </w:r>
          </w:p>
        </w:tc>
      </w:tr>
      <w:tr w14:paraId="2C213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05B3EE43">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0BED082E">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所有控制回路、二次回路及控制柜内部配线必须采用铜芯导线，严禁使用铝芯导线或铜包铝导线；所选导线应满足1.3条要求，并适配设备端子连接要求。</w:t>
            </w:r>
          </w:p>
        </w:tc>
      </w:tr>
      <w:tr w14:paraId="4FF37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1AA875F3">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7A19EF05">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桥架的宽度和高度选择应符合电缆填充率的规定值，另外需预留10%—25%的工程发展余量。</w:t>
            </w:r>
          </w:p>
        </w:tc>
      </w:tr>
      <w:tr w14:paraId="25147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353645C8">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7E1FCD50">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支、吊架规格的选择应按桥架规格、层数、跨距等条件配置，并满足荷载要求。</w:t>
            </w:r>
          </w:p>
        </w:tc>
      </w:tr>
      <w:tr w14:paraId="5A3F3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26667D99">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44ED2F5F">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桥架系统应具有可靠的电气连接并接地，与接地干线有不小于2处连接。</w:t>
            </w:r>
          </w:p>
        </w:tc>
      </w:tr>
      <w:tr w14:paraId="5F660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5744BB21">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02CBCC37">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金属桥架及线槽节与节间应接触良好，安装牢固，桥架间连接板的两端应跨接接地线或固定螺栓。</w:t>
            </w:r>
          </w:p>
          <w:p w14:paraId="065AD5A2">
            <w:pPr>
              <w:snapToGrid w:val="0"/>
              <w:rPr>
                <w:color w:val="000000" w:themeColor="text1"/>
                <w:szCs w:val="21"/>
                <w14:textFill>
                  <w14:solidFill>
                    <w14:schemeClr w14:val="tx1"/>
                  </w14:solidFill>
                </w14:textFill>
              </w:rPr>
            </w:pPr>
          </w:p>
        </w:tc>
      </w:tr>
      <w:tr w14:paraId="11DF9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566A34BA">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43759B9C">
            <w:pPr>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施工单位</w:t>
            </w:r>
            <w:r>
              <w:rPr>
                <w:color w:val="000000" w:themeColor="text1"/>
                <w:szCs w:val="21"/>
                <w14:textFill>
                  <w14:solidFill>
                    <w14:schemeClr w14:val="tx1"/>
                  </w14:solidFill>
                </w14:textFill>
              </w:rPr>
              <w:t>保证按合同的规定提供优质的、全新的、齐全的、无损的产品，产品除符合国家有关技术标准外，还应符合本合同</w:t>
            </w:r>
            <w:r>
              <w:rPr>
                <w:rFonts w:hint="eastAsia"/>
                <w:color w:val="000000" w:themeColor="text1"/>
                <w:szCs w:val="21"/>
                <w14:textFill>
                  <w14:solidFill>
                    <w14:schemeClr w14:val="tx1"/>
                  </w14:solidFill>
                </w14:textFill>
              </w:rPr>
              <w:t>（U</w:t>
            </w:r>
            <w:r>
              <w:rPr>
                <w:color w:val="000000" w:themeColor="text1"/>
                <w:szCs w:val="21"/>
                <w14:textFill>
                  <w14:solidFill>
                    <w14:schemeClr w14:val="tx1"/>
                  </w14:solidFill>
                </w14:textFill>
              </w:rPr>
              <w:t>RS</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的技术规格和行业标准。</w:t>
            </w:r>
          </w:p>
        </w:tc>
      </w:tr>
      <w:tr w14:paraId="76C75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4E069BC1">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6E921F4A">
            <w:pPr>
              <w:snapToGrid w:val="0"/>
              <w:rPr>
                <w:color w:val="000000" w:themeColor="text1"/>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所选设备型号及技术参数必须达到地方电力供电部门（吉林供电公司）的运行标准，确保满足电网接入规范及后期运行维护要求。</w:t>
            </w:r>
          </w:p>
        </w:tc>
      </w:tr>
      <w:tr w14:paraId="40C72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1DB768CD">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203C34ED">
            <w:pPr>
              <w:snapToGrid w:val="0"/>
              <w:rPr>
                <w:rFonts w:hint="eastAsia" w:ascii="宋体" w:hAnsi="宋体"/>
                <w:bCs/>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设备到货时包装体外观应保持完好无损，经建设单位相关人员开箱验收合格后，方可进行安装。</w:t>
            </w:r>
          </w:p>
        </w:tc>
      </w:tr>
      <w:tr w14:paraId="5B5AA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000" w:type="pct"/>
            <w:gridSpan w:val="2"/>
            <w:vAlign w:val="center"/>
          </w:tcPr>
          <w:p w14:paraId="73E60BAB">
            <w:pPr>
              <w:pStyle w:val="2"/>
              <w:keepNext w:val="0"/>
              <w:keepLines w:val="0"/>
              <w:widowControl w:val="0"/>
              <w:snapToGrid w:val="0"/>
              <w:spacing w:before="0" w:after="0" w:line="240" w:lineRule="auto"/>
              <w:jc w:val="both"/>
              <w:rPr>
                <w:rFonts w:cs="Arial"/>
                <w:color w:val="000000" w:themeColor="text1"/>
                <w:sz w:val="21"/>
                <w:szCs w:val="21"/>
                <w:lang w:eastAsia="zh-CN"/>
                <w14:textFill>
                  <w14:solidFill>
                    <w14:schemeClr w14:val="tx1"/>
                  </w14:solidFill>
                </w14:textFill>
              </w:rPr>
            </w:pPr>
            <w:r>
              <w:rPr>
                <w:rFonts w:hint="eastAsia" w:cs="Arial"/>
                <w:color w:val="000000" w:themeColor="text1"/>
                <w:sz w:val="21"/>
                <w:szCs w:val="21"/>
                <w:lang w:eastAsia="zh-CN"/>
                <w14:textFill>
                  <w14:solidFill>
                    <w14:schemeClr w14:val="tx1"/>
                  </w14:solidFill>
                </w14:textFill>
              </w:rPr>
              <w:t>2.6</w:t>
            </w:r>
            <w:r>
              <w:rPr>
                <w:rFonts w:cs="Arial"/>
                <w:color w:val="000000" w:themeColor="text1"/>
                <w:sz w:val="21"/>
                <w:szCs w:val="21"/>
                <w:lang w:eastAsia="zh-CN"/>
                <w14:textFill>
                  <w14:solidFill>
                    <w14:schemeClr w14:val="tx1"/>
                  </w14:solidFill>
                </w14:textFill>
              </w:rPr>
              <w:t>售后服务及质量保证</w:t>
            </w:r>
            <w:r>
              <w:rPr>
                <w:rFonts w:hint="eastAsia" w:cs="Arial"/>
                <w:color w:val="000000" w:themeColor="text1"/>
                <w:sz w:val="21"/>
                <w:szCs w:val="21"/>
                <w:lang w:eastAsia="zh-CN"/>
                <w14:textFill>
                  <w14:solidFill>
                    <w14:schemeClr w14:val="tx1"/>
                  </w14:solidFill>
                </w14:textFill>
              </w:rPr>
              <w:t>要求</w:t>
            </w:r>
          </w:p>
        </w:tc>
      </w:tr>
      <w:tr w14:paraId="61085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67A44A33">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24BF7C18">
            <w:pPr>
              <w:snapToGrid w:val="0"/>
              <w:rPr>
                <w:rFonts w:ascii="Arial" w:hAnsi="Arial" w:cs="Arial"/>
                <w:bCs/>
                <w:szCs w:val="21"/>
              </w:rPr>
            </w:pPr>
            <w:r>
              <w:rPr>
                <w:rFonts w:hint="eastAsia"/>
                <w:szCs w:val="21"/>
              </w:rPr>
              <w:t>对本次工程所有改造内容包含综合保护装置、后台系统等配电设备、线路及设备元件保修期限5年。每年到厂进行一次配电系统检测，保修期限自工程整体竣工验收合格之日起算，满5年为止。</w:t>
            </w:r>
          </w:p>
        </w:tc>
      </w:tr>
      <w:tr w14:paraId="7A07D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6E6DD877">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0716354F">
            <w:pPr>
              <w:snapToGrid w:val="0"/>
              <w:rPr>
                <w:szCs w:val="21"/>
              </w:rPr>
            </w:pPr>
            <w:r>
              <w:rPr>
                <w:rFonts w:hint="eastAsia"/>
                <w:szCs w:val="21"/>
              </w:rPr>
              <w:t>电气系统发生故障时，施工单位应在接到建设单位通知之时起1小时内作出答复，1.5小时内赶到现场解决问题。</w:t>
            </w:r>
          </w:p>
        </w:tc>
      </w:tr>
      <w:tr w14:paraId="56AA0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000" w:type="pct"/>
            <w:gridSpan w:val="2"/>
            <w:vAlign w:val="center"/>
          </w:tcPr>
          <w:p w14:paraId="0137D9C5">
            <w:pPr>
              <w:pStyle w:val="2"/>
              <w:keepNext w:val="0"/>
              <w:keepLines w:val="0"/>
              <w:widowControl w:val="0"/>
              <w:snapToGrid w:val="0"/>
              <w:spacing w:before="0" w:after="0" w:line="240" w:lineRule="auto"/>
              <w:jc w:val="both"/>
              <w:rPr>
                <w:rFonts w:cs="Arial"/>
                <w:color w:val="000000" w:themeColor="text1"/>
                <w:sz w:val="21"/>
                <w:szCs w:val="21"/>
                <w:lang w:eastAsia="zh-CN"/>
                <w14:textFill>
                  <w14:solidFill>
                    <w14:schemeClr w14:val="tx1"/>
                  </w14:solidFill>
                </w14:textFill>
              </w:rPr>
            </w:pPr>
            <w:r>
              <w:rPr>
                <w:rFonts w:hint="eastAsia" w:cs="Arial"/>
                <w:color w:val="000000" w:themeColor="text1"/>
                <w:sz w:val="21"/>
                <w:szCs w:val="21"/>
                <w:lang w:eastAsia="zh-CN"/>
                <w14:textFill>
                  <w14:solidFill>
                    <w14:schemeClr w14:val="tx1"/>
                  </w14:solidFill>
                </w14:textFill>
              </w:rPr>
              <w:t>2.7测试和文件需求</w:t>
            </w:r>
          </w:p>
        </w:tc>
      </w:tr>
      <w:tr w14:paraId="6D604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65CCF8D5">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0372FCFE">
            <w:pPr>
              <w:snapToGrid w:val="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主要材料设备进场检验记录，出厂合格证，产品质量说明书，</w:t>
            </w:r>
            <w:r>
              <w:rPr>
                <w:rFonts w:hint="eastAsia" w:ascii="宋体" w:hAnsi="宋体"/>
                <w:color w:val="000000" w:themeColor="text1"/>
                <w:szCs w:val="21"/>
                <w14:textFill>
                  <w14:solidFill>
                    <w14:schemeClr w14:val="tx1"/>
                  </w14:solidFill>
                </w14:textFill>
              </w:rPr>
              <w:t>产品</w:t>
            </w:r>
            <w:r>
              <w:rPr>
                <w:rFonts w:ascii="宋体" w:hAnsi="宋体"/>
                <w:color w:val="000000" w:themeColor="text1"/>
                <w:szCs w:val="21"/>
                <w14:textFill>
                  <w14:solidFill>
                    <w14:schemeClr w14:val="tx1"/>
                  </w14:solidFill>
                </w14:textFill>
              </w:rPr>
              <w:t>检验报告，</w:t>
            </w:r>
            <w:r>
              <w:rPr>
                <w:rFonts w:hint="eastAsia" w:ascii="宋体" w:hAnsi="宋体"/>
                <w:color w:val="000000" w:themeColor="text1"/>
                <w:szCs w:val="21"/>
                <w14:textFill>
                  <w14:solidFill>
                    <w14:schemeClr w14:val="tx1"/>
                  </w14:solidFill>
                </w14:textFill>
              </w:rPr>
              <w:t>产品安装说明书，</w:t>
            </w:r>
            <w:r>
              <w:rPr>
                <w:rFonts w:ascii="宋体" w:hAnsi="宋体"/>
                <w:color w:val="000000" w:themeColor="text1"/>
                <w:szCs w:val="21"/>
                <w14:textFill>
                  <w14:solidFill>
                    <w14:schemeClr w14:val="tx1"/>
                  </w14:solidFill>
                </w14:textFill>
              </w:rPr>
              <w:t>生产许可证</w:t>
            </w:r>
            <w:r>
              <w:rPr>
                <w:rFonts w:hint="eastAsia" w:ascii="宋体" w:hAnsi="宋体"/>
                <w:color w:val="000000" w:themeColor="text1"/>
                <w:szCs w:val="21"/>
                <w14:textFill>
                  <w14:solidFill>
                    <w14:schemeClr w14:val="tx1"/>
                  </w14:solidFill>
                </w14:textFill>
              </w:rPr>
              <w:t>，配套产品合格证、使用说明书，辅助电路原理图、安装接线图等。</w:t>
            </w:r>
          </w:p>
        </w:tc>
      </w:tr>
      <w:tr w14:paraId="023B5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0EDBAB22">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1C40EFC6">
            <w:pPr>
              <w:snapToGri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w:t>
            </w:r>
            <w:r>
              <w:rPr>
                <w:rFonts w:ascii="宋体" w:hAnsi="宋体"/>
                <w:color w:val="000000" w:themeColor="text1"/>
                <w:szCs w:val="21"/>
                <w14:textFill>
                  <w14:solidFill>
                    <w14:schemeClr w14:val="tx1"/>
                  </w14:solidFill>
                </w14:textFill>
              </w:rPr>
              <w:t>保修卡、中文安装手册、使用手册、技术资料、图纸、调试报告、合格证</w:t>
            </w:r>
            <w:r>
              <w:rPr>
                <w:rFonts w:hint="eastAsia" w:ascii="宋体" w:hAnsi="宋体"/>
                <w:color w:val="000000" w:themeColor="text1"/>
                <w:szCs w:val="21"/>
                <w14:textFill>
                  <w14:solidFill>
                    <w14:schemeClr w14:val="tx1"/>
                  </w14:solidFill>
                </w14:textFill>
              </w:rPr>
              <w:t>。</w:t>
            </w:r>
          </w:p>
        </w:tc>
      </w:tr>
      <w:tr w14:paraId="14827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5C734293">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4CCDF6D1">
            <w:pPr>
              <w:snapToGri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施工结束后，施工方应做好竣工图纸，竣工资料，装订成册。</w:t>
            </w:r>
          </w:p>
        </w:tc>
      </w:tr>
      <w:tr w14:paraId="662A4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1AA9E274">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02613491">
            <w:pPr>
              <w:snapToGrid w:val="0"/>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竣工图应覆盖整个变、配电系统，对变电所内未列入本次改造范围的其他柜体也应涵盖在内，能反映本系统在竣工后的真实运行状态。内容包括但不限于一次系统图、二次原理图、控制与保护回路图、通讯系统图、电缆及桥架敷设图、设备布置图、端子接线图、电缆清册等全部相关技术资料，并经建设单位审核确认后移交归档。</w:t>
            </w:r>
          </w:p>
        </w:tc>
      </w:tr>
      <w:tr w14:paraId="18717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733219FC">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641BC56A">
            <w:pPr>
              <w:snapToGrid w:val="0"/>
              <w:rPr>
                <w:rFonts w:hint="eastAsia" w:ascii="宋体" w:hAnsi="宋体"/>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所有项目手续清单及原件表格。</w:t>
            </w:r>
          </w:p>
        </w:tc>
      </w:tr>
      <w:tr w14:paraId="7CB9B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4446DD68">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6DA8B878">
            <w:pPr>
              <w:snapToGrid w:val="0"/>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使用维护：预防维护指导及操作手册（运行，维修）。</w:t>
            </w:r>
          </w:p>
        </w:tc>
      </w:tr>
      <w:tr w14:paraId="6884B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000" w:type="pct"/>
            <w:gridSpan w:val="2"/>
            <w:vAlign w:val="center"/>
          </w:tcPr>
          <w:p w14:paraId="09499FD1">
            <w:pPr>
              <w:pStyle w:val="2"/>
              <w:keepNext w:val="0"/>
              <w:keepLines w:val="0"/>
              <w:widowControl w:val="0"/>
              <w:snapToGrid w:val="0"/>
              <w:spacing w:before="0" w:after="0" w:line="240" w:lineRule="auto"/>
              <w:jc w:val="both"/>
              <w:rPr>
                <w:rFonts w:cs="Arial"/>
                <w:color w:val="000000" w:themeColor="text1"/>
                <w:sz w:val="21"/>
                <w:szCs w:val="21"/>
                <w:lang w:eastAsia="zh-CN"/>
                <w14:textFill>
                  <w14:solidFill>
                    <w14:schemeClr w14:val="tx1"/>
                  </w14:solidFill>
                </w14:textFill>
              </w:rPr>
            </w:pPr>
            <w:r>
              <w:rPr>
                <w:rFonts w:hint="eastAsia" w:cs="Arial"/>
                <w:color w:val="000000" w:themeColor="text1"/>
                <w:sz w:val="21"/>
                <w:szCs w:val="21"/>
                <w:lang w:eastAsia="zh-CN"/>
                <w14:textFill>
                  <w14:solidFill>
                    <w14:schemeClr w14:val="tx1"/>
                  </w14:solidFill>
                </w14:textFill>
              </w:rPr>
              <w:t>2.8 安全需求</w:t>
            </w:r>
          </w:p>
        </w:tc>
      </w:tr>
      <w:tr w14:paraId="702A2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4469FA46">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566F3E8C">
            <w:pPr>
              <w:snapToGrid w:val="0"/>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严格按照国家配电系统设计安装现行标准规范执行。</w:t>
            </w:r>
          </w:p>
        </w:tc>
      </w:tr>
      <w:tr w14:paraId="57F1C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4EA7C54F">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2A8553EF">
            <w:pPr>
              <w:snapToGrid w:val="0"/>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安全文明施工，遵守厂区各项管理。遵守本公司施工单位管理制度和特殊作业安全管理制度。</w:t>
            </w:r>
          </w:p>
        </w:tc>
      </w:tr>
      <w:tr w14:paraId="173F5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364BFB7B">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1BFB6ADD">
            <w:pPr>
              <w:snapToGrid w:val="0"/>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施工单位需要有相应资质。施工人员需有高压电工资质证书。</w:t>
            </w:r>
          </w:p>
        </w:tc>
      </w:tr>
      <w:tr w14:paraId="1B040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4F0E8A9C">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7BE854A4">
            <w:pPr>
              <w:snapToGrid w:val="0"/>
              <w:rPr>
                <w:rFonts w:hint="eastAsia" w:ascii="宋体" w:hAnsi="宋体" w:cs="Arial"/>
                <w:color w:val="000000" w:themeColor="text1"/>
                <w:szCs w:val="21"/>
                <w14:textFill>
                  <w14:solidFill>
                    <w14:schemeClr w14:val="tx1"/>
                  </w14:solidFill>
                </w14:textFill>
              </w:rPr>
            </w:pPr>
            <w:r>
              <w:rPr>
                <w:rFonts w:hint="eastAsia" w:ascii="宋体" w:hAnsi="宋体"/>
              </w:rPr>
              <w:t>进场施工需要佩戴安全帽且统一着装。</w:t>
            </w:r>
          </w:p>
        </w:tc>
      </w:tr>
      <w:tr w14:paraId="25FA7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4EE6F7CB">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0DBCFB1E">
            <w:pPr>
              <w:snapToGrid w:val="0"/>
              <w:rPr>
                <w:rFonts w:hint="eastAsia" w:ascii="宋体" w:hAnsi="宋体"/>
              </w:rPr>
            </w:pPr>
            <w:r>
              <w:rPr>
                <w:rFonts w:hint="eastAsia" w:ascii="宋体" w:hAnsi="宋体"/>
              </w:rPr>
              <w:t>施工单位应按合同约定履行安全职责,执行建设单位有关安全工作的指示。</w:t>
            </w:r>
          </w:p>
        </w:tc>
      </w:tr>
      <w:tr w14:paraId="0FDB8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166E9ECC">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2CCEAD4F">
            <w:pPr>
              <w:snapToGrid w:val="0"/>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施工单位应严格按照国家安全标准制定施工安全操作方案，配备必要的安全生产和劳动保护设施，加强对施工单位人员的安全教育，并发放劳动保护用具。</w:t>
            </w:r>
          </w:p>
        </w:tc>
      </w:tr>
      <w:tr w14:paraId="5BF83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11CC4522">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6484F6AD">
            <w:pPr>
              <w:snapToGrid w:val="0"/>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施工单位应对其履行合同所雇佣的全部人员，包括分包人人员的工伤事故承担责任。</w:t>
            </w:r>
          </w:p>
        </w:tc>
      </w:tr>
      <w:tr w14:paraId="51976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651" w:type="pct"/>
            <w:vAlign w:val="center"/>
          </w:tcPr>
          <w:p w14:paraId="72669CB2">
            <w:pPr>
              <w:numPr>
                <w:ilvl w:val="0"/>
                <w:numId w:val="1"/>
              </w:numPr>
              <w:snapToGrid w:val="0"/>
              <w:rPr>
                <w:rFonts w:ascii="Arial" w:hAnsi="Arial" w:cs="Arial"/>
                <w:color w:val="000000" w:themeColor="text1"/>
                <w:szCs w:val="21"/>
                <w14:textFill>
                  <w14:solidFill>
                    <w14:schemeClr w14:val="tx1"/>
                  </w14:solidFill>
                </w14:textFill>
              </w:rPr>
            </w:pPr>
          </w:p>
        </w:tc>
        <w:tc>
          <w:tcPr>
            <w:tcW w:w="4348" w:type="pct"/>
            <w:vAlign w:val="center"/>
          </w:tcPr>
          <w:p w14:paraId="659649BB">
            <w:pPr>
              <w:snapToGrid w:val="0"/>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由于施工单位原因在施工场地内及其毗邻地带造成的人员伤亡和财产损失，由施工单位负责赔偿。</w:t>
            </w:r>
          </w:p>
        </w:tc>
      </w:tr>
    </w:tbl>
    <w:p w14:paraId="6AB71F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思源黑体">
    <w:altName w:val="黑体"/>
    <w:panose1 w:val="020B0400000000000000"/>
    <w:charset w:val="86"/>
    <w:family w:val="swiss"/>
    <w:pitch w:val="default"/>
    <w:sig w:usb0="00000000" w:usb1="00000000" w:usb2="00000016" w:usb3="00000000" w:csb0="0006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84752"/>
    <w:multiLevelType w:val="multilevel"/>
    <w:tmpl w:val="04F8475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2A6265C"/>
    <w:multiLevelType w:val="multilevel"/>
    <w:tmpl w:val="72A626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D51C9C"/>
    <w:multiLevelType w:val="multilevel"/>
    <w:tmpl w:val="72D51C9C"/>
    <w:lvl w:ilvl="0" w:tentative="0">
      <w:start w:val="1"/>
      <w:numFmt w:val="decimalZero"/>
      <w:lvlText w:val="URS0%1"/>
      <w:lvlJc w:val="left"/>
      <w:pPr>
        <w:tabs>
          <w:tab w:val="left" w:pos="105"/>
        </w:tabs>
        <w:ind w:left="525" w:hanging="420"/>
      </w:pPr>
      <w:rPr>
        <w:rFonts w:hint="eastAsia"/>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none"/>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96998"/>
    <w:rsid w:val="00000C8E"/>
    <w:rsid w:val="000452CC"/>
    <w:rsid w:val="0005091B"/>
    <w:rsid w:val="00051B8D"/>
    <w:rsid w:val="00063278"/>
    <w:rsid w:val="0006722A"/>
    <w:rsid w:val="00070591"/>
    <w:rsid w:val="000722EB"/>
    <w:rsid w:val="00073FC0"/>
    <w:rsid w:val="00074C22"/>
    <w:rsid w:val="00086C71"/>
    <w:rsid w:val="0009261D"/>
    <w:rsid w:val="000A151A"/>
    <w:rsid w:val="000A153A"/>
    <w:rsid w:val="000A1D07"/>
    <w:rsid w:val="000C0C72"/>
    <w:rsid w:val="000C25E1"/>
    <w:rsid w:val="000C716E"/>
    <w:rsid w:val="000C7408"/>
    <w:rsid w:val="000D5C82"/>
    <w:rsid w:val="000D7BF2"/>
    <w:rsid w:val="000E3965"/>
    <w:rsid w:val="000F3064"/>
    <w:rsid w:val="000F331D"/>
    <w:rsid w:val="0011016F"/>
    <w:rsid w:val="00114BCC"/>
    <w:rsid w:val="0012298E"/>
    <w:rsid w:val="00140447"/>
    <w:rsid w:val="00145DD5"/>
    <w:rsid w:val="00162E6E"/>
    <w:rsid w:val="00163687"/>
    <w:rsid w:val="001759A9"/>
    <w:rsid w:val="00184FF8"/>
    <w:rsid w:val="00194AB4"/>
    <w:rsid w:val="001A0B7C"/>
    <w:rsid w:val="001A4932"/>
    <w:rsid w:val="001A5577"/>
    <w:rsid w:val="001A7300"/>
    <w:rsid w:val="001D0D14"/>
    <w:rsid w:val="001D7977"/>
    <w:rsid w:val="00200271"/>
    <w:rsid w:val="00204BB6"/>
    <w:rsid w:val="00214316"/>
    <w:rsid w:val="002172AC"/>
    <w:rsid w:val="00223EC5"/>
    <w:rsid w:val="002611CF"/>
    <w:rsid w:val="00262A73"/>
    <w:rsid w:val="002652D3"/>
    <w:rsid w:val="00280E2C"/>
    <w:rsid w:val="00286B4F"/>
    <w:rsid w:val="00287ECE"/>
    <w:rsid w:val="002A39D3"/>
    <w:rsid w:val="002C648F"/>
    <w:rsid w:val="002E3C4C"/>
    <w:rsid w:val="002E7503"/>
    <w:rsid w:val="00311A25"/>
    <w:rsid w:val="00326889"/>
    <w:rsid w:val="00342436"/>
    <w:rsid w:val="00346D54"/>
    <w:rsid w:val="00374BBA"/>
    <w:rsid w:val="00377CFE"/>
    <w:rsid w:val="00381231"/>
    <w:rsid w:val="0038530F"/>
    <w:rsid w:val="00393D2D"/>
    <w:rsid w:val="00396BE0"/>
    <w:rsid w:val="003B039B"/>
    <w:rsid w:val="003D1884"/>
    <w:rsid w:val="003D1C39"/>
    <w:rsid w:val="003D2F97"/>
    <w:rsid w:val="003D37CC"/>
    <w:rsid w:val="00411C44"/>
    <w:rsid w:val="00425773"/>
    <w:rsid w:val="004317FD"/>
    <w:rsid w:val="004367B9"/>
    <w:rsid w:val="0046368C"/>
    <w:rsid w:val="004770F0"/>
    <w:rsid w:val="00481FBB"/>
    <w:rsid w:val="00485B5B"/>
    <w:rsid w:val="004A3943"/>
    <w:rsid w:val="004C0E9E"/>
    <w:rsid w:val="004C5CA2"/>
    <w:rsid w:val="004D527E"/>
    <w:rsid w:val="004F2995"/>
    <w:rsid w:val="004F6E77"/>
    <w:rsid w:val="00502E2F"/>
    <w:rsid w:val="005104E8"/>
    <w:rsid w:val="00535EF7"/>
    <w:rsid w:val="005617E3"/>
    <w:rsid w:val="005A0A66"/>
    <w:rsid w:val="005C3763"/>
    <w:rsid w:val="005C51AD"/>
    <w:rsid w:val="005E1729"/>
    <w:rsid w:val="005F12ED"/>
    <w:rsid w:val="005F2A91"/>
    <w:rsid w:val="00623F5C"/>
    <w:rsid w:val="00637F73"/>
    <w:rsid w:val="00686BE6"/>
    <w:rsid w:val="00691E55"/>
    <w:rsid w:val="00692747"/>
    <w:rsid w:val="006A3054"/>
    <w:rsid w:val="006A6977"/>
    <w:rsid w:val="006C14D9"/>
    <w:rsid w:val="006C469D"/>
    <w:rsid w:val="006E43D0"/>
    <w:rsid w:val="006E582B"/>
    <w:rsid w:val="00703B68"/>
    <w:rsid w:val="00715471"/>
    <w:rsid w:val="007171B6"/>
    <w:rsid w:val="0072091B"/>
    <w:rsid w:val="00730E51"/>
    <w:rsid w:val="00737106"/>
    <w:rsid w:val="0074600C"/>
    <w:rsid w:val="007622E1"/>
    <w:rsid w:val="00762699"/>
    <w:rsid w:val="00767C47"/>
    <w:rsid w:val="00793A79"/>
    <w:rsid w:val="0079421C"/>
    <w:rsid w:val="007A009E"/>
    <w:rsid w:val="007A55FF"/>
    <w:rsid w:val="007E4918"/>
    <w:rsid w:val="007E669D"/>
    <w:rsid w:val="007F0593"/>
    <w:rsid w:val="00801CD8"/>
    <w:rsid w:val="008162C2"/>
    <w:rsid w:val="008176F3"/>
    <w:rsid w:val="00825011"/>
    <w:rsid w:val="00843CB0"/>
    <w:rsid w:val="00856260"/>
    <w:rsid w:val="0089417F"/>
    <w:rsid w:val="008B2079"/>
    <w:rsid w:val="008B23BD"/>
    <w:rsid w:val="008C0216"/>
    <w:rsid w:val="008C6074"/>
    <w:rsid w:val="008D0FE5"/>
    <w:rsid w:val="008D46EB"/>
    <w:rsid w:val="008E4D7F"/>
    <w:rsid w:val="008F405B"/>
    <w:rsid w:val="008F49FF"/>
    <w:rsid w:val="008F4BB6"/>
    <w:rsid w:val="009125B9"/>
    <w:rsid w:val="0091368A"/>
    <w:rsid w:val="00917576"/>
    <w:rsid w:val="009264A5"/>
    <w:rsid w:val="0093041E"/>
    <w:rsid w:val="00934C8B"/>
    <w:rsid w:val="00940E5B"/>
    <w:rsid w:val="0094790A"/>
    <w:rsid w:val="009561A0"/>
    <w:rsid w:val="009615BC"/>
    <w:rsid w:val="00965D05"/>
    <w:rsid w:val="009775F3"/>
    <w:rsid w:val="00985209"/>
    <w:rsid w:val="00995EF5"/>
    <w:rsid w:val="009F0F16"/>
    <w:rsid w:val="009F6E21"/>
    <w:rsid w:val="00A041CF"/>
    <w:rsid w:val="00A0740F"/>
    <w:rsid w:val="00A15B76"/>
    <w:rsid w:val="00A3521F"/>
    <w:rsid w:val="00A35279"/>
    <w:rsid w:val="00A366F1"/>
    <w:rsid w:val="00A51C0E"/>
    <w:rsid w:val="00A62537"/>
    <w:rsid w:val="00A640DC"/>
    <w:rsid w:val="00A70483"/>
    <w:rsid w:val="00A811E7"/>
    <w:rsid w:val="00A86C74"/>
    <w:rsid w:val="00AB72AC"/>
    <w:rsid w:val="00AB7D3C"/>
    <w:rsid w:val="00AC20EC"/>
    <w:rsid w:val="00AD1FD7"/>
    <w:rsid w:val="00AD765A"/>
    <w:rsid w:val="00B04D91"/>
    <w:rsid w:val="00B775A2"/>
    <w:rsid w:val="00B97A51"/>
    <w:rsid w:val="00BA0BFE"/>
    <w:rsid w:val="00BA6212"/>
    <w:rsid w:val="00BA680E"/>
    <w:rsid w:val="00BD38C1"/>
    <w:rsid w:val="00BE1BF1"/>
    <w:rsid w:val="00BF564F"/>
    <w:rsid w:val="00C01505"/>
    <w:rsid w:val="00C21E5F"/>
    <w:rsid w:val="00C71C4F"/>
    <w:rsid w:val="00CC373F"/>
    <w:rsid w:val="00CE4BE1"/>
    <w:rsid w:val="00CF545D"/>
    <w:rsid w:val="00D209D7"/>
    <w:rsid w:val="00D45D66"/>
    <w:rsid w:val="00D7193C"/>
    <w:rsid w:val="00D7553D"/>
    <w:rsid w:val="00D7698C"/>
    <w:rsid w:val="00D7769F"/>
    <w:rsid w:val="00D81B1E"/>
    <w:rsid w:val="00D83B26"/>
    <w:rsid w:val="00D968EF"/>
    <w:rsid w:val="00E00C1B"/>
    <w:rsid w:val="00E01F6A"/>
    <w:rsid w:val="00E43F96"/>
    <w:rsid w:val="00E72B71"/>
    <w:rsid w:val="00E76086"/>
    <w:rsid w:val="00E83D14"/>
    <w:rsid w:val="00EA2549"/>
    <w:rsid w:val="00EA362E"/>
    <w:rsid w:val="00EA61D2"/>
    <w:rsid w:val="00EA76ED"/>
    <w:rsid w:val="00EC12AC"/>
    <w:rsid w:val="00ED3494"/>
    <w:rsid w:val="00EE1A47"/>
    <w:rsid w:val="00EE692C"/>
    <w:rsid w:val="00EF4E69"/>
    <w:rsid w:val="00EF75EA"/>
    <w:rsid w:val="00F162F2"/>
    <w:rsid w:val="00F2437C"/>
    <w:rsid w:val="00F377C1"/>
    <w:rsid w:val="00F415F1"/>
    <w:rsid w:val="00F519F7"/>
    <w:rsid w:val="00F83CB0"/>
    <w:rsid w:val="00F86CC6"/>
    <w:rsid w:val="00F91A6C"/>
    <w:rsid w:val="00F95F63"/>
    <w:rsid w:val="00F964C4"/>
    <w:rsid w:val="00FA0382"/>
    <w:rsid w:val="00FA099B"/>
    <w:rsid w:val="00FA3550"/>
    <w:rsid w:val="00FB2A4E"/>
    <w:rsid w:val="00FB7F71"/>
    <w:rsid w:val="00FC073E"/>
    <w:rsid w:val="00FE0415"/>
    <w:rsid w:val="00FE7F89"/>
    <w:rsid w:val="00FF7D1D"/>
    <w:rsid w:val="01844BDB"/>
    <w:rsid w:val="018E0F64"/>
    <w:rsid w:val="02ED6112"/>
    <w:rsid w:val="039E565E"/>
    <w:rsid w:val="04730898"/>
    <w:rsid w:val="057C19CF"/>
    <w:rsid w:val="0636392C"/>
    <w:rsid w:val="067F1777"/>
    <w:rsid w:val="06BA630B"/>
    <w:rsid w:val="06CC603E"/>
    <w:rsid w:val="06F7130D"/>
    <w:rsid w:val="07195727"/>
    <w:rsid w:val="076B5857"/>
    <w:rsid w:val="077566D6"/>
    <w:rsid w:val="079B438E"/>
    <w:rsid w:val="08741249"/>
    <w:rsid w:val="08C6543B"/>
    <w:rsid w:val="08EF05D7"/>
    <w:rsid w:val="09CD0A4B"/>
    <w:rsid w:val="0A6E5D8A"/>
    <w:rsid w:val="0AB539B9"/>
    <w:rsid w:val="0ABF65E6"/>
    <w:rsid w:val="0BB377CC"/>
    <w:rsid w:val="0D646FD0"/>
    <w:rsid w:val="0E3C1CFB"/>
    <w:rsid w:val="0EA6551C"/>
    <w:rsid w:val="0F9F0794"/>
    <w:rsid w:val="0FBC30F4"/>
    <w:rsid w:val="112C42A9"/>
    <w:rsid w:val="113E3FDC"/>
    <w:rsid w:val="11C10E95"/>
    <w:rsid w:val="126343B4"/>
    <w:rsid w:val="12E15AFC"/>
    <w:rsid w:val="13193FF3"/>
    <w:rsid w:val="13386F35"/>
    <w:rsid w:val="134358DA"/>
    <w:rsid w:val="137943F0"/>
    <w:rsid w:val="143E4A1F"/>
    <w:rsid w:val="14A437A0"/>
    <w:rsid w:val="14C173FE"/>
    <w:rsid w:val="14C33176"/>
    <w:rsid w:val="150473B9"/>
    <w:rsid w:val="158741A4"/>
    <w:rsid w:val="16377978"/>
    <w:rsid w:val="165C0DE8"/>
    <w:rsid w:val="189C1D14"/>
    <w:rsid w:val="1917583F"/>
    <w:rsid w:val="19353E00"/>
    <w:rsid w:val="196B7938"/>
    <w:rsid w:val="199F638C"/>
    <w:rsid w:val="19B47531"/>
    <w:rsid w:val="1A381F10"/>
    <w:rsid w:val="1A58304F"/>
    <w:rsid w:val="1A8C7B66"/>
    <w:rsid w:val="1AAE21D3"/>
    <w:rsid w:val="1B6D0497"/>
    <w:rsid w:val="1D161002"/>
    <w:rsid w:val="1D4D4A4E"/>
    <w:rsid w:val="1D8D2573"/>
    <w:rsid w:val="1D94745E"/>
    <w:rsid w:val="1DA63635"/>
    <w:rsid w:val="208A4B48"/>
    <w:rsid w:val="20D9162C"/>
    <w:rsid w:val="21442F49"/>
    <w:rsid w:val="216D342D"/>
    <w:rsid w:val="21F42BC1"/>
    <w:rsid w:val="21F4671D"/>
    <w:rsid w:val="22034BB2"/>
    <w:rsid w:val="222D60D3"/>
    <w:rsid w:val="22943A5C"/>
    <w:rsid w:val="22DF6260"/>
    <w:rsid w:val="22E03145"/>
    <w:rsid w:val="232F77AE"/>
    <w:rsid w:val="23377209"/>
    <w:rsid w:val="237C2E6E"/>
    <w:rsid w:val="23D26F32"/>
    <w:rsid w:val="23DC56BB"/>
    <w:rsid w:val="2452597D"/>
    <w:rsid w:val="24855D52"/>
    <w:rsid w:val="24863A50"/>
    <w:rsid w:val="24BB1774"/>
    <w:rsid w:val="24E54A43"/>
    <w:rsid w:val="24E94533"/>
    <w:rsid w:val="25733DFD"/>
    <w:rsid w:val="25A84F00"/>
    <w:rsid w:val="26395046"/>
    <w:rsid w:val="26965073"/>
    <w:rsid w:val="27277595"/>
    <w:rsid w:val="27D6414C"/>
    <w:rsid w:val="27F531EF"/>
    <w:rsid w:val="284E3DD8"/>
    <w:rsid w:val="28D45431"/>
    <w:rsid w:val="28DC43AF"/>
    <w:rsid w:val="28F13AD4"/>
    <w:rsid w:val="292673D8"/>
    <w:rsid w:val="295D34C0"/>
    <w:rsid w:val="29DE42D0"/>
    <w:rsid w:val="2A375D41"/>
    <w:rsid w:val="2A8039A1"/>
    <w:rsid w:val="2A830F86"/>
    <w:rsid w:val="2AA008FF"/>
    <w:rsid w:val="2AFB7590"/>
    <w:rsid w:val="2B165956"/>
    <w:rsid w:val="2C136339"/>
    <w:rsid w:val="2C3342E6"/>
    <w:rsid w:val="2CA945A8"/>
    <w:rsid w:val="2CE837B7"/>
    <w:rsid w:val="2D012636"/>
    <w:rsid w:val="2E1351B3"/>
    <w:rsid w:val="2E2E2A6F"/>
    <w:rsid w:val="2ED2428A"/>
    <w:rsid w:val="2FAC6889"/>
    <w:rsid w:val="2FF26266"/>
    <w:rsid w:val="30202DD3"/>
    <w:rsid w:val="30E83917"/>
    <w:rsid w:val="314F1BC2"/>
    <w:rsid w:val="31E10F22"/>
    <w:rsid w:val="337A0A4C"/>
    <w:rsid w:val="33B10912"/>
    <w:rsid w:val="33B71CA0"/>
    <w:rsid w:val="341B3FDD"/>
    <w:rsid w:val="3421711A"/>
    <w:rsid w:val="343432F1"/>
    <w:rsid w:val="34A43FD3"/>
    <w:rsid w:val="34D16D92"/>
    <w:rsid w:val="352670DE"/>
    <w:rsid w:val="3575771D"/>
    <w:rsid w:val="358001F1"/>
    <w:rsid w:val="35BE167E"/>
    <w:rsid w:val="37282F06"/>
    <w:rsid w:val="3736112E"/>
    <w:rsid w:val="375C0B95"/>
    <w:rsid w:val="37F214F9"/>
    <w:rsid w:val="38EA6674"/>
    <w:rsid w:val="38F848ED"/>
    <w:rsid w:val="39205BF2"/>
    <w:rsid w:val="3A306308"/>
    <w:rsid w:val="3AF235BE"/>
    <w:rsid w:val="3B0D4B9C"/>
    <w:rsid w:val="3B8C75BA"/>
    <w:rsid w:val="3C4D1614"/>
    <w:rsid w:val="3C8668D0"/>
    <w:rsid w:val="3CA32DC2"/>
    <w:rsid w:val="3CE5162C"/>
    <w:rsid w:val="3D8449A1"/>
    <w:rsid w:val="3DBB413B"/>
    <w:rsid w:val="3DC359B5"/>
    <w:rsid w:val="3DF8538F"/>
    <w:rsid w:val="3E42660A"/>
    <w:rsid w:val="3E546A69"/>
    <w:rsid w:val="3FF102E8"/>
    <w:rsid w:val="40CD48B1"/>
    <w:rsid w:val="41541072"/>
    <w:rsid w:val="41F1637D"/>
    <w:rsid w:val="423170C2"/>
    <w:rsid w:val="42CD6DEA"/>
    <w:rsid w:val="43124111"/>
    <w:rsid w:val="433C0D0A"/>
    <w:rsid w:val="444C3D3F"/>
    <w:rsid w:val="44CC6C2E"/>
    <w:rsid w:val="44DA759D"/>
    <w:rsid w:val="45905EAD"/>
    <w:rsid w:val="45C02C36"/>
    <w:rsid w:val="46694A85"/>
    <w:rsid w:val="46804174"/>
    <w:rsid w:val="46F26E20"/>
    <w:rsid w:val="47507FEA"/>
    <w:rsid w:val="47523D62"/>
    <w:rsid w:val="484D62D8"/>
    <w:rsid w:val="4893018E"/>
    <w:rsid w:val="48D34A2F"/>
    <w:rsid w:val="499C3073"/>
    <w:rsid w:val="49CF1E7A"/>
    <w:rsid w:val="4A851D59"/>
    <w:rsid w:val="4B3C2D5F"/>
    <w:rsid w:val="4B48533C"/>
    <w:rsid w:val="4B501931"/>
    <w:rsid w:val="4B736055"/>
    <w:rsid w:val="4B887D52"/>
    <w:rsid w:val="4B9F6E4A"/>
    <w:rsid w:val="4BE34975"/>
    <w:rsid w:val="4C0D64AA"/>
    <w:rsid w:val="4C153AF0"/>
    <w:rsid w:val="4D4B7289"/>
    <w:rsid w:val="4E031912"/>
    <w:rsid w:val="4E105DDD"/>
    <w:rsid w:val="4EE01C53"/>
    <w:rsid w:val="4EE419FD"/>
    <w:rsid w:val="4FA113E3"/>
    <w:rsid w:val="4FB629B4"/>
    <w:rsid w:val="50FC089B"/>
    <w:rsid w:val="51B017F2"/>
    <w:rsid w:val="525070F0"/>
    <w:rsid w:val="529F25B4"/>
    <w:rsid w:val="52DB10B0"/>
    <w:rsid w:val="52ED7EDF"/>
    <w:rsid w:val="53582700"/>
    <w:rsid w:val="539B3EAD"/>
    <w:rsid w:val="53D9371F"/>
    <w:rsid w:val="53EE6BC1"/>
    <w:rsid w:val="54752E3E"/>
    <w:rsid w:val="561C5D7C"/>
    <w:rsid w:val="56513437"/>
    <w:rsid w:val="57162D68"/>
    <w:rsid w:val="571E12FD"/>
    <w:rsid w:val="576A47B0"/>
    <w:rsid w:val="580427C5"/>
    <w:rsid w:val="583E3F8C"/>
    <w:rsid w:val="58670D41"/>
    <w:rsid w:val="58ED5699"/>
    <w:rsid w:val="590E4034"/>
    <w:rsid w:val="59B9557B"/>
    <w:rsid w:val="5A1F7AD4"/>
    <w:rsid w:val="5AB43192"/>
    <w:rsid w:val="5C583771"/>
    <w:rsid w:val="5C6C0FCA"/>
    <w:rsid w:val="5D066D29"/>
    <w:rsid w:val="5DB20C5F"/>
    <w:rsid w:val="5E582CB5"/>
    <w:rsid w:val="5E5D07A4"/>
    <w:rsid w:val="5EB87CF5"/>
    <w:rsid w:val="5F1B65AD"/>
    <w:rsid w:val="5F5226F9"/>
    <w:rsid w:val="5FB011CE"/>
    <w:rsid w:val="62744735"/>
    <w:rsid w:val="627A5DCB"/>
    <w:rsid w:val="628D3A49"/>
    <w:rsid w:val="631F6D97"/>
    <w:rsid w:val="63640C4D"/>
    <w:rsid w:val="63A63014"/>
    <w:rsid w:val="65173188"/>
    <w:rsid w:val="651D10B4"/>
    <w:rsid w:val="65314B5F"/>
    <w:rsid w:val="65921AA2"/>
    <w:rsid w:val="664B1C51"/>
    <w:rsid w:val="68026233"/>
    <w:rsid w:val="68354966"/>
    <w:rsid w:val="68F021D6"/>
    <w:rsid w:val="69610236"/>
    <w:rsid w:val="698A0E6F"/>
    <w:rsid w:val="69D613F8"/>
    <w:rsid w:val="6A553464"/>
    <w:rsid w:val="6A731776"/>
    <w:rsid w:val="6AE56D6D"/>
    <w:rsid w:val="6B0E7C9A"/>
    <w:rsid w:val="6B795A87"/>
    <w:rsid w:val="6BD85E70"/>
    <w:rsid w:val="6C67530A"/>
    <w:rsid w:val="6E241705"/>
    <w:rsid w:val="6E535B46"/>
    <w:rsid w:val="6EB20ABF"/>
    <w:rsid w:val="6F6A5D07"/>
    <w:rsid w:val="6F6C45BD"/>
    <w:rsid w:val="6FF15617"/>
    <w:rsid w:val="70AC7790"/>
    <w:rsid w:val="71CC1CC1"/>
    <w:rsid w:val="71E371E1"/>
    <w:rsid w:val="72976F13"/>
    <w:rsid w:val="72BD5C84"/>
    <w:rsid w:val="734168B5"/>
    <w:rsid w:val="73610D05"/>
    <w:rsid w:val="73AB1F81"/>
    <w:rsid w:val="73C179F6"/>
    <w:rsid w:val="74786307"/>
    <w:rsid w:val="74DA0D6F"/>
    <w:rsid w:val="758955C0"/>
    <w:rsid w:val="75A91B22"/>
    <w:rsid w:val="76361FD5"/>
    <w:rsid w:val="76447189"/>
    <w:rsid w:val="76946211"/>
    <w:rsid w:val="76E557A9"/>
    <w:rsid w:val="771542E1"/>
    <w:rsid w:val="771B518B"/>
    <w:rsid w:val="77CF3DC0"/>
    <w:rsid w:val="78882890"/>
    <w:rsid w:val="78CA10FB"/>
    <w:rsid w:val="78D96998"/>
    <w:rsid w:val="78E93A26"/>
    <w:rsid w:val="78F41CD4"/>
    <w:rsid w:val="792E3438"/>
    <w:rsid w:val="7A1D254E"/>
    <w:rsid w:val="7AB94F83"/>
    <w:rsid w:val="7B0B3EC3"/>
    <w:rsid w:val="7B66535A"/>
    <w:rsid w:val="7B7315D6"/>
    <w:rsid w:val="7C930ACD"/>
    <w:rsid w:val="7CCC57E5"/>
    <w:rsid w:val="7CF46746"/>
    <w:rsid w:val="7CF6426C"/>
    <w:rsid w:val="7DAE4B47"/>
    <w:rsid w:val="7E130EF5"/>
    <w:rsid w:val="7E507FA2"/>
    <w:rsid w:val="7E9C0E44"/>
    <w:rsid w:val="7EFC7CD0"/>
    <w:rsid w:val="7F92292C"/>
    <w:rsid w:val="7F967F89"/>
    <w:rsid w:val="7FB07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6"/>
    <w:qFormat/>
    <w:uiPriority w:val="9"/>
    <w:pPr>
      <w:keepNext/>
      <w:keepLines/>
      <w:widowControl/>
      <w:spacing w:before="260" w:after="260" w:line="416" w:lineRule="auto"/>
      <w:jc w:val="left"/>
      <w:outlineLvl w:val="1"/>
    </w:pPr>
    <w:rPr>
      <w:rFonts w:ascii="Arial" w:hAnsi="Arial" w:eastAsia="宋体" w:cs="Times New Roman"/>
      <w:b/>
      <w:bCs/>
      <w:kern w:val="0"/>
      <w:sz w:val="32"/>
      <w:szCs w:val="32"/>
      <w:lang w:eastAsia="en-US"/>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link w:val="15"/>
    <w:qFormat/>
    <w:uiPriority w:val="0"/>
    <w:pPr>
      <w:spacing w:line="500" w:lineRule="exact"/>
      <w:ind w:firstLine="51"/>
    </w:pPr>
    <w:rPr>
      <w:rFonts w:ascii="宋体" w:hAnsi="Courier New" w:eastAsia="宋体" w:cs="Times New Roman"/>
      <w:szCs w:val="20"/>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Strong"/>
    <w:basedOn w:val="8"/>
    <w:qFormat/>
    <w:uiPriority w:val="0"/>
    <w:rPr>
      <w:b/>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 w:type="paragraph" w:customStyle="1" w:styleId="12">
    <w:name w:val="1级标题"/>
    <w:link w:val="13"/>
    <w:qFormat/>
    <w:uiPriority w:val="0"/>
    <w:pPr>
      <w:adjustRightInd w:val="0"/>
      <w:snapToGrid w:val="0"/>
      <w:spacing w:line="480" w:lineRule="exact"/>
      <w:ind w:left="595" w:hanging="595"/>
      <w:jc w:val="both"/>
      <w:outlineLvl w:val="0"/>
    </w:pPr>
    <w:rPr>
      <w:rFonts w:ascii="Arial" w:hAnsi="Arial" w:eastAsia="宋体" w:cs="Arial"/>
      <w:b/>
      <w:kern w:val="2"/>
      <w:sz w:val="21"/>
      <w:szCs w:val="21"/>
      <w:lang w:val="en-US" w:eastAsia="zh-CN" w:bidi="ar-SA"/>
    </w:rPr>
  </w:style>
  <w:style w:type="character" w:customStyle="1" w:styleId="13">
    <w:name w:val="1级标题 Char"/>
    <w:link w:val="12"/>
    <w:qFormat/>
    <w:uiPriority w:val="0"/>
    <w:rPr>
      <w:rFonts w:ascii="Arial" w:hAnsi="Arial" w:cs="Arial"/>
      <w:b/>
      <w:kern w:val="2"/>
      <w:sz w:val="21"/>
      <w:szCs w:val="21"/>
    </w:rPr>
  </w:style>
  <w:style w:type="paragraph" w:styleId="14">
    <w:name w:val="List Paragraph"/>
    <w:basedOn w:val="1"/>
    <w:unhideWhenUsed/>
    <w:qFormat/>
    <w:uiPriority w:val="99"/>
    <w:pPr>
      <w:ind w:firstLine="420" w:firstLineChars="200"/>
    </w:pPr>
  </w:style>
  <w:style w:type="character" w:customStyle="1" w:styleId="15">
    <w:name w:val="纯文本 字符"/>
    <w:basedOn w:val="8"/>
    <w:link w:val="3"/>
    <w:qFormat/>
    <w:uiPriority w:val="0"/>
    <w:rPr>
      <w:rFonts w:ascii="宋体" w:hAnsi="Courier New"/>
      <w:kern w:val="2"/>
      <w:sz w:val="21"/>
    </w:rPr>
  </w:style>
  <w:style w:type="character" w:customStyle="1" w:styleId="16">
    <w:name w:val="标题 2 字符"/>
    <w:basedOn w:val="8"/>
    <w:link w:val="2"/>
    <w:qFormat/>
    <w:uiPriority w:val="9"/>
    <w:rPr>
      <w:rFonts w:ascii="Arial" w:hAnsi="Arial"/>
      <w:b/>
      <w:bCs/>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2b7b7902-8cbf-46ea-83d5-30a6f9ead3ef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30D8DEC3</paraID>
      <start>0</start>
      <end>2</end>
      <status>modified</status>
      <modifiedWord>2.</modifiedWord>
      <trackRevisions>false</trackRevisions>
    </reviewItem>
    <reviewItem>
      <errorID>266eff9e-d0d4-4496-b757-b47a2505ea22</errorID>
      <errorWord>，</errorWord>
      <group>L1_Word</group>
      <groupName>字词问题</groupName>
      <ability>L2_Typo</ability>
      <abilityName>字词错误</abilityName>
      <candidateList>
        <item>，经</item>
      </candidateList>
      <explain/>
      <paraID> 3E85B26</paraID>
      <start>142</start>
      <end>144</end>
      <status>modified</status>
      <modifiedWord>，经</modifiedWord>
      <trackRevisions>false</trackRevisions>
    </reviewItem>
    <reviewItem>
      <errorID>39bdddb2-4379-4e97-901c-d35f05b076c0</errorID>
      <errorWord>:</errorWord>
      <group>L1_Format</group>
      <groupName>格式问题</groupName>
      <ability>L2_HalfPunc</ability>
      <abilityName>全半角检查</abilityName>
      <candidateList>
        <item>：</item>
      </candidateList>
      <explain>文本全半角错误。</explain>
      <paraID> FD6840A</paraID>
      <start>13</start>
      <end>14</end>
      <status>modified</status>
      <modifiedWord>：</modifiedWord>
      <trackRevisions>false</trackRevisions>
    </reviewItem>
    <reviewItem>
      <errorID>d280d472-b099-4464-be8c-f9f2b1740ab5</errorID>
      <errorWord>、而且</errorWord>
      <group>L1_Word</group>
      <groupName>字词问题</groupName>
      <ability>L2_Typo</ability>
      <abilityName>字词错误</abilityName>
      <candidateList>
        <item>，而且</item>
      </candidateList>
      <explain/>
      <paraID>4AEB7939</paraID>
      <start>24</start>
      <end>27</end>
      <status>modified</status>
      <modifiedWord>，而且</modifiedWord>
      <trackRevisions>false</trackRevisions>
    </reviewItem>
    <reviewItem>
      <errorID>d37c1b04-3e69-40cc-91b6-4853164bde22</errorID>
      <errorWord>压接接线端子</errorWord>
      <group>L1_Word</group>
      <groupName>字词问题</groupName>
      <ability>L2_Typo</ability>
      <abilityName>字词错误</abilityName>
      <candidateList>
        <item>压接线端子</item>
      </candidateList>
      <explain/>
      <paraID>28B33ADB</paraID>
      <start>24</start>
      <end>30</end>
      <status>unmodified</status>
      <modifiedWord/>
      <trackRevisions>false</trackRevisions>
    </reviewItem>
    <reviewItem>
      <errorID>7b16e7cb-db35-4e75-957b-c23f7eafe929</errorID>
      <errorWord>10%-25%</errorWord>
      <group>L1_Knowledge</group>
      <groupName>知识性问题</groupName>
      <ability>L2_Knowledge</ability>
      <abilityName>其他知识</abilityName>
      <candidateList>
        <item>10%—25%</item>
      </candidateList>
      <explain>1. “10%-25%”中的单位“%”仅出现在后一个数字上，容易引起歧义；根据《现代汉语标点符号数字用法规范手册》，数字表示范围两边需要使用统一的格式。2. 根据标点国标 4.13 中的规则，数字、时间或地域连接符应使用（视觉上更长的）“—”或“～”。</explain>
      <paraID>7A19EF05</paraID>
      <start>28</start>
      <end>35</end>
      <status>modified</status>
      <modifiedWord>10%—25%</modifiedWord>
      <trackRevisions>false</trackRevisions>
    </reviewItem>
    <reviewItem>
      <errorID>0fa90192-68b3-4fa1-b218-4ff62128ac9f</errorID>
      <errorWord>做出</errorWord>
      <group>L1_Word</group>
      <groupName>字词问题</groupName>
      <ability>L2_Typo</ability>
      <abilityName>字词错误</abilityName>
      <candidateList>
        <item>作出</item>
      </candidateList>
      <explain/>
      <paraID> 716354F</paraID>
      <start>31</start>
      <end>33</end>
      <status>modified</status>
      <modifiedWord>作出</modifiedWord>
      <trackRevisions>false</trackRevisions>
    </reviewItem>
    <reviewItem>
      <errorID>673cc0d6-1141-42ae-8a76-f289d355d588</errorID>
      <errorWord>,</errorWord>
      <group>L1_Format</group>
      <groupName>格式问题</groupName>
      <ability>L2_HalfPunc</ability>
      <abilityName>全半角检查</abilityName>
      <candidateList>
        <item>，</item>
      </candidateList>
      <explain>文本全半角错误。</explain>
      <paraID>4CCDF6D1</paraID>
      <start>16</start>
      <end>17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30FE80A-1AC1-488E-813D-F2AFF999FC26}">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3282</Words>
  <Characters>3546</Characters>
  <Lines>181</Lines>
  <Paragraphs>196</Paragraphs>
  <TotalTime>954</TotalTime>
  <ScaleCrop>false</ScaleCrop>
  <LinksUpToDate>false</LinksUpToDate>
  <CharactersWithSpaces>3589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2026-01-21T01:50:00Z</dcterms:created>
  <dc:creator>王天龙</dc:creator>
  <cp:lastModifiedBy>Yuan Jianming</cp:lastModifiedBy>
  <cp:lastPrinted>2026-06-05T02:47:38Z</cp:lastPrinted>
  <dcterms:modified xsi:type="dcterms:W3CDTF">2026-06-05T02:47:42Z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AEEFD82C21654FEBA2A1B24E827960E4_13</vt:lpwstr>
  </property>
  <property fmtid="{D5CDD505-2E9C-101B-9397-08002B2CF9AE}" pid="4" name="KSOTemplateDocerSaveRecord">
    <vt:lpwstr>eyJoZGlkIjoiNDE3NTU1MjBhYWE3ZmI3M2IwN2U2MDNjMmMwOTgxODciLCJ1c2VySWQiOiI0MDI2Mjc2MjkifQ==</vt:lpwstr>
  </property>
  <property fmtid="{D5CDD505-2E9C-101B-9397-08002B2CF9AE}" pid="5" name="GrammarlyDocumentId">
    <vt:lpwstr>d660365c-a4ef-487d-9a3e-455131a4f4be</vt:lpwstr>
  </property>
</Properties>
</file>