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3B72">
      <w:pPr>
        <w:jc w:val="center"/>
        <w:rPr>
          <w:b/>
          <w:bCs/>
        </w:rPr>
      </w:pPr>
      <w:r>
        <w:rPr>
          <w:rFonts w:hint="eastAsia"/>
          <w:b/>
          <w:bCs/>
          <w:sz w:val="32"/>
          <w:szCs w:val="32"/>
        </w:rPr>
        <w:t xml:space="preserve"> 关于延续取水评估潜在投标人的技术要求</w:t>
      </w:r>
    </w:p>
    <w:p w14:paraId="709F2BF5">
      <w:pPr>
        <w:spacing w:line="500" w:lineRule="exact"/>
        <w:ind w:firstLine="540"/>
        <w:rPr>
          <w:rFonts w:ascii="仿宋" w:hAnsi="仿宋" w:eastAsia="仿宋" w:cs="仿宋"/>
        </w:rPr>
      </w:pPr>
      <w:r>
        <w:rPr>
          <w:rFonts w:hint="eastAsia" w:ascii="仿宋" w:hAnsi="仿宋" w:eastAsia="仿宋" w:cs="仿宋"/>
          <w:b/>
          <w:bCs/>
        </w:rPr>
        <w:t>一、基本要求</w:t>
      </w:r>
    </w:p>
    <w:p w14:paraId="0448E89B">
      <w:pPr>
        <w:numPr>
          <w:ilvl w:val="0"/>
          <w:numId w:val="1"/>
        </w:numPr>
        <w:spacing w:line="500" w:lineRule="exact"/>
        <w:ind w:left="0" w:firstLine="284"/>
        <w:rPr>
          <w:rFonts w:ascii="仿宋" w:hAnsi="仿宋" w:eastAsia="仿宋" w:cs="仿宋"/>
        </w:rPr>
      </w:pPr>
      <w:r>
        <w:rPr>
          <w:rFonts w:hint="eastAsia" w:ascii="仿宋" w:hAnsi="仿宋" w:eastAsia="仿宋" w:cs="仿宋"/>
        </w:rPr>
        <w:t>1、满足《中华人民共和国政府采购法》第二十二条规定：</w:t>
      </w:r>
    </w:p>
    <w:p w14:paraId="45511F9E">
      <w:pPr>
        <w:numPr>
          <w:ilvl w:val="0"/>
          <w:numId w:val="1"/>
        </w:numPr>
        <w:spacing w:line="500" w:lineRule="exact"/>
        <w:ind w:left="0" w:firstLine="284"/>
        <w:rPr>
          <w:rFonts w:ascii="仿宋" w:hAnsi="仿宋" w:eastAsia="仿宋" w:cs="仿宋"/>
        </w:rPr>
      </w:pPr>
      <w:r>
        <w:rPr>
          <w:rFonts w:hint="eastAsia" w:ascii="仿宋" w:hAnsi="仿宋" w:eastAsia="仿宋" w:cs="仿宋"/>
        </w:rPr>
        <w:t>(1).具有独立承担民事责任的能力；</w:t>
      </w:r>
    </w:p>
    <w:p w14:paraId="08B3DB02">
      <w:pPr>
        <w:numPr>
          <w:ilvl w:val="0"/>
          <w:numId w:val="1"/>
        </w:numPr>
        <w:spacing w:line="500" w:lineRule="exact"/>
        <w:ind w:left="0" w:firstLine="284"/>
        <w:rPr>
          <w:rFonts w:ascii="仿宋" w:hAnsi="仿宋" w:eastAsia="仿宋" w:cs="仿宋"/>
        </w:rPr>
      </w:pPr>
      <w:r>
        <w:rPr>
          <w:rFonts w:hint="eastAsia" w:ascii="仿宋" w:hAnsi="仿宋" w:eastAsia="仿宋" w:cs="仿宋"/>
        </w:rPr>
        <w:t>(2).具有良好的商业信誉和健全的财务会计制度；</w:t>
      </w:r>
    </w:p>
    <w:p w14:paraId="453FC7E0">
      <w:pPr>
        <w:numPr>
          <w:ilvl w:val="0"/>
          <w:numId w:val="1"/>
        </w:numPr>
        <w:spacing w:line="500" w:lineRule="exact"/>
        <w:ind w:left="0" w:firstLine="284"/>
        <w:rPr>
          <w:rFonts w:ascii="仿宋" w:hAnsi="仿宋" w:eastAsia="仿宋" w:cs="仿宋"/>
        </w:rPr>
      </w:pPr>
      <w:r>
        <w:rPr>
          <w:rFonts w:hint="eastAsia" w:ascii="仿宋" w:hAnsi="仿宋" w:eastAsia="仿宋" w:cs="仿宋"/>
        </w:rPr>
        <w:t>(3).具有履行合同所必需的设备和专业技术能力；</w:t>
      </w:r>
    </w:p>
    <w:p w14:paraId="27B2A0A8">
      <w:pPr>
        <w:numPr>
          <w:ilvl w:val="0"/>
          <w:numId w:val="1"/>
        </w:numPr>
        <w:spacing w:line="500" w:lineRule="exact"/>
        <w:ind w:left="0" w:firstLine="284"/>
        <w:rPr>
          <w:rFonts w:ascii="仿宋" w:hAnsi="仿宋" w:eastAsia="仿宋" w:cs="仿宋"/>
        </w:rPr>
      </w:pPr>
      <w:r>
        <w:rPr>
          <w:rFonts w:hint="eastAsia" w:ascii="仿宋" w:hAnsi="仿宋" w:eastAsia="仿宋" w:cs="仿宋"/>
        </w:rPr>
        <w:t>(4).有依法缴纳税收的良好记录；</w:t>
      </w:r>
    </w:p>
    <w:p w14:paraId="6EBA39AD">
      <w:pPr>
        <w:numPr>
          <w:ilvl w:val="0"/>
          <w:numId w:val="1"/>
        </w:numPr>
        <w:spacing w:line="500" w:lineRule="exact"/>
        <w:ind w:left="0" w:firstLine="284"/>
        <w:rPr>
          <w:rFonts w:ascii="仿宋" w:hAnsi="仿宋" w:eastAsia="仿宋" w:cs="仿宋"/>
        </w:rPr>
      </w:pPr>
      <w:r>
        <w:rPr>
          <w:rFonts w:hint="eastAsia" w:ascii="仿宋" w:hAnsi="仿宋" w:eastAsia="仿宋" w:cs="仿宋"/>
        </w:rPr>
        <w:t>(5).参加政府采购活动近三年内，在经营活动中没有重大违法记录；</w:t>
      </w:r>
    </w:p>
    <w:p w14:paraId="1B95A821">
      <w:pPr>
        <w:numPr>
          <w:ilvl w:val="0"/>
          <w:numId w:val="1"/>
        </w:numPr>
        <w:spacing w:line="500" w:lineRule="exact"/>
        <w:ind w:left="0" w:firstLine="284"/>
        <w:rPr>
          <w:rFonts w:ascii="仿宋" w:hAnsi="仿宋" w:eastAsia="仿宋" w:cs="仿宋"/>
        </w:rPr>
      </w:pPr>
      <w:r>
        <w:rPr>
          <w:rFonts w:hint="eastAsia" w:ascii="仿宋" w:hAnsi="仿宋" w:eastAsia="仿宋" w:cs="仿宋"/>
        </w:rPr>
        <w:t>(6).法律、行政法规规定的其他条件。</w:t>
      </w:r>
    </w:p>
    <w:p w14:paraId="68B1FCB9">
      <w:pPr>
        <w:pStyle w:val="11"/>
        <w:spacing w:line="500" w:lineRule="exact"/>
        <w:ind w:firstLine="562"/>
        <w:rPr>
          <w:rFonts w:ascii="仿宋" w:hAnsi="仿宋" w:eastAsia="仿宋" w:cs="仿宋"/>
          <w:b/>
          <w:bCs/>
        </w:rPr>
      </w:pPr>
      <w:r>
        <w:rPr>
          <w:rFonts w:hint="eastAsia" w:ascii="仿宋" w:hAnsi="仿宋" w:eastAsia="仿宋" w:cs="仿宋"/>
          <w:b/>
          <w:bCs/>
        </w:rPr>
        <w:t>二、本项目的特定资格要求</w:t>
      </w:r>
    </w:p>
    <w:p w14:paraId="7C1A7680">
      <w:pPr>
        <w:spacing w:line="500" w:lineRule="exact"/>
        <w:ind w:firstLine="560" w:firstLineChars="200"/>
        <w:rPr>
          <w:rFonts w:ascii="仿宋" w:hAnsi="仿宋" w:eastAsia="仿宋" w:cs="仿宋"/>
        </w:rPr>
      </w:pPr>
      <w:r>
        <w:rPr>
          <w:rFonts w:hint="eastAsia" w:ascii="仿宋" w:hAnsi="仿宋" w:eastAsia="仿宋" w:cs="仿宋"/>
        </w:rPr>
        <w:t>1.供应商须在中华人民共和国境内注册，能够独立承担民事责任的法人或其他组织形式，具备有效的营业执照且经营范围应包括水资</w:t>
      </w:r>
      <w:bookmarkStart w:id="0" w:name="_GoBack"/>
      <w:bookmarkEnd w:id="0"/>
      <w:r>
        <w:rPr>
          <w:rFonts w:hint="eastAsia" w:ascii="仿宋" w:hAnsi="仿宋" w:eastAsia="仿宋" w:cs="仿宋"/>
        </w:rPr>
        <w:t>源开发利用技术咨询或节水管理或资源循环利用或水利相关咨询服务等相关经营范围，同时具备相应的技术实力；</w:t>
      </w:r>
    </w:p>
    <w:p w14:paraId="27C53320">
      <w:pPr>
        <w:pStyle w:val="4"/>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2.具有依法缴纳税收的良好记录</w:t>
      </w:r>
      <w:r>
        <w:rPr>
          <w:rFonts w:hint="eastAsia" w:ascii="仿宋" w:hAnsi="仿宋" w:eastAsia="仿宋" w:cs="仿宋"/>
          <w:bCs/>
          <w:sz w:val="28"/>
          <w:szCs w:val="28"/>
        </w:rPr>
        <w:t>；</w:t>
      </w:r>
    </w:p>
    <w:p w14:paraId="0A5AC52B">
      <w:pPr>
        <w:pStyle w:val="4"/>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w:t>
      </w:r>
      <w:r>
        <w:rPr>
          <w:rFonts w:hint="eastAsia" w:ascii="仿宋" w:hAnsi="仿宋" w:eastAsia="仿宋" w:cs="仿宋"/>
          <w:sz w:val="28"/>
          <w:szCs w:val="28"/>
        </w:rPr>
        <w:t>拒绝列入政府取消投标资格记录期间的企业或个人投标；</w:t>
      </w:r>
    </w:p>
    <w:p w14:paraId="61B1FB6D">
      <w:pPr>
        <w:spacing w:line="500" w:lineRule="exact"/>
        <w:ind w:firstLine="560" w:firstLineChars="200"/>
        <w:rPr>
          <w:rFonts w:ascii="仿宋" w:hAnsi="仿宋" w:eastAsia="仿宋" w:cs="仿宋"/>
        </w:rPr>
      </w:pPr>
      <w:r>
        <w:rPr>
          <w:rFonts w:hint="eastAsia" w:ascii="仿宋" w:hAnsi="仿宋" w:eastAsia="仿宋" w:cs="仿宋"/>
        </w:rPr>
        <w:t>4.</w:t>
      </w:r>
      <w:r>
        <w:rPr>
          <w:rFonts w:hint="eastAsia" w:ascii="仿宋" w:hAnsi="仿宋" w:eastAsia="仿宋" w:cs="仿宋"/>
          <w:kern w:val="44"/>
        </w:rPr>
        <w:t>企业信誉良好、无不良行为记录，“信用中国”网站（www.creditchina.gov.cn）未列入①失信被执行人②重大税收违法案件当事人名单③</w:t>
      </w:r>
      <w:r>
        <w:rPr>
          <w:rFonts w:hint="eastAsia" w:ascii="仿宋" w:hAnsi="仿宋" w:eastAsia="仿宋" w:cs="仿宋"/>
        </w:rPr>
        <w:t>企业经营异常名录查询</w:t>
      </w:r>
      <w:r>
        <w:rPr>
          <w:rFonts w:hint="eastAsia" w:ascii="仿宋" w:hAnsi="仿宋" w:eastAsia="仿宋" w:cs="仿宋"/>
          <w:kern w:val="44"/>
        </w:rPr>
        <w:t>，中国政府采购网（www.ccgp.gov.cn）未列入政府采购严重违法失信行为记录名单</w:t>
      </w:r>
      <w:r>
        <w:rPr>
          <w:rFonts w:hint="eastAsia" w:ascii="仿宋" w:hAnsi="仿宋" w:eastAsia="仿宋" w:cs="仿宋"/>
          <w:color w:val="000000"/>
        </w:rPr>
        <w:t>；</w:t>
      </w:r>
    </w:p>
    <w:p w14:paraId="2EC14BC1">
      <w:pPr>
        <w:spacing w:line="500" w:lineRule="exact"/>
        <w:ind w:firstLine="560" w:firstLineChars="200"/>
        <w:rPr>
          <w:rFonts w:ascii="仿宋" w:hAnsi="仿宋" w:eastAsia="仿宋" w:cs="仿宋"/>
        </w:rPr>
      </w:pPr>
      <w:r>
        <w:rPr>
          <w:rFonts w:hint="eastAsia" w:ascii="仿宋" w:hAnsi="仿宋" w:eastAsia="仿宋" w:cs="仿宋"/>
        </w:rPr>
        <w:t>5.与采购人存在利害关系可能影响招标公正性的法人、其他组织或者个人，不得参加投标；单位负责人为同一人或者存在直接控股、管理关系的不同供应商，不得同时参加同一标包的采购活动。</w:t>
      </w:r>
    </w:p>
    <w:p w14:paraId="4D85276C">
      <w:pPr>
        <w:pStyle w:val="2"/>
        <w:ind w:left="0" w:leftChars="0" w:firstLine="0" w:firstLineChars="0"/>
        <w:rPr>
          <w:rFonts w:ascii="仿宋" w:hAnsi="仿宋" w:eastAsia="仿宋"/>
          <w:sz w:val="28"/>
          <w:szCs w:val="28"/>
        </w:rPr>
      </w:pPr>
      <w:r>
        <w:rPr>
          <w:rFonts w:hint="eastAsia"/>
        </w:rPr>
        <w:t xml:space="preserve">   </w:t>
      </w:r>
      <w:r>
        <w:rPr>
          <w:rFonts w:hint="eastAsia" w:ascii="仿宋" w:hAnsi="仿宋" w:eastAsia="仿宋"/>
        </w:rPr>
        <w:t xml:space="preserve"> </w:t>
      </w:r>
      <w:r>
        <w:rPr>
          <w:rFonts w:hint="eastAsia" w:ascii="仿宋" w:hAnsi="仿宋" w:eastAsia="仿宋"/>
          <w:sz w:val="28"/>
          <w:szCs w:val="28"/>
        </w:rPr>
        <w:t>6、在规定时间（五个工作日）内完成编制工作，不能延误招标方办理延续取水许可业务的网上提交。</w:t>
      </w:r>
    </w:p>
    <w:p w14:paraId="370DD00D">
      <w:pPr>
        <w:pStyle w:val="2"/>
        <w:ind w:left="0" w:leftChars="0" w:firstLine="0" w:firstLineChars="0"/>
        <w:rPr>
          <w:rFonts w:hint="eastAsia"/>
        </w:rPr>
      </w:pPr>
      <w:r>
        <w:rPr>
          <w:rFonts w:hint="eastAsia"/>
        </w:rPr>
        <w:t xml:space="preserve">   </w:t>
      </w:r>
    </w:p>
    <w:p w14:paraId="12FFF92D">
      <w:pPr>
        <w:autoSpaceDE w:val="0"/>
        <w:autoSpaceDN w:val="0"/>
        <w:adjustRightInd w:val="0"/>
        <w:ind w:firstLine="840" w:firstLineChars="300"/>
        <w:rPr>
          <w:rFonts w:ascii="仿宋" w:hAnsi="仿宋" w:eastAsia="仿宋" w:cs="黑体"/>
          <w:color w:val="1E1E1E"/>
          <w:kern w:val="0"/>
          <w:sz w:val="32"/>
          <w:szCs w:val="32"/>
        </w:rPr>
      </w:pPr>
      <w:r>
        <w:rPr>
          <w:rFonts w:hint="eastAsia" w:ascii="仿宋" w:hAnsi="仿宋" w:eastAsia="仿宋"/>
        </w:rPr>
        <w:t>附表：</w:t>
      </w:r>
      <w:r>
        <w:rPr>
          <w:rFonts w:hint="eastAsia" w:ascii="仿宋" w:hAnsi="仿宋" w:eastAsia="仿宋" w:cs="黑体"/>
          <w:color w:val="1E1E1E"/>
          <w:kern w:val="0"/>
        </w:rPr>
        <w:t>延续取水评估报告提纲及技术要求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C09D5"/>
    <w:rsid w:val="001B3DA8"/>
    <w:rsid w:val="00274410"/>
    <w:rsid w:val="002E1C1D"/>
    <w:rsid w:val="004B62BF"/>
    <w:rsid w:val="00C75816"/>
    <w:rsid w:val="00C85536"/>
    <w:rsid w:val="00DF211E"/>
    <w:rsid w:val="00FD0597"/>
    <w:rsid w:val="02805869"/>
    <w:rsid w:val="14AE7111"/>
    <w:rsid w:val="183323C1"/>
    <w:rsid w:val="1D594678"/>
    <w:rsid w:val="2DAC09D5"/>
    <w:rsid w:val="34086670"/>
    <w:rsid w:val="34E268A9"/>
    <w:rsid w:val="3A4009E5"/>
    <w:rsid w:val="3C070A0C"/>
    <w:rsid w:val="43317379"/>
    <w:rsid w:val="59FD190B"/>
    <w:rsid w:val="5B3C7721"/>
    <w:rsid w:val="6AB63450"/>
    <w:rsid w:val="6E8C5829"/>
    <w:rsid w:val="71BC14A7"/>
    <w:rsid w:val="7549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28"/>
      <w:szCs w:val="28"/>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楷体" w:hAnsi="Times New Roman" w:eastAsia="楷体" w:cs="Times New Roman"/>
      <w:sz w:val="30"/>
      <w:szCs w:val="20"/>
    </w:rPr>
  </w:style>
  <w:style w:type="paragraph" w:styleId="3">
    <w:name w:val="Body Text Indent"/>
    <w:basedOn w:val="1"/>
    <w:next w:val="1"/>
    <w:qFormat/>
    <w:uiPriority w:val="0"/>
    <w:pPr>
      <w:spacing w:line="360" w:lineRule="exact"/>
      <w:ind w:left="420" w:leftChars="200"/>
    </w:pPr>
    <w:rPr>
      <w:sz w:val="21"/>
      <w:szCs w:val="24"/>
    </w:rPr>
  </w:style>
  <w:style w:type="paragraph" w:styleId="4">
    <w:name w:val="Body Text"/>
    <w:basedOn w:val="1"/>
    <w:next w:val="5"/>
    <w:qFormat/>
    <w:uiPriority w:val="1"/>
    <w:rPr>
      <w:sz w:val="24"/>
      <w:szCs w:val="24"/>
    </w:rPr>
  </w:style>
  <w:style w:type="paragraph" w:customStyle="1" w:styleId="5">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cs="Times New Roman"/>
      <w:sz w:val="24"/>
    </w:rPr>
  </w:style>
  <w:style w:type="paragraph" w:customStyle="1" w:styleId="11">
    <w:name w:val="列出段落1"/>
    <w:basedOn w:val="1"/>
    <w:qFormat/>
    <w:uiPriority w:val="99"/>
    <w:pPr>
      <w:ind w:firstLine="420" w:firstLineChars="200"/>
    </w:pPr>
    <w:rPr>
      <w:rFonts w:ascii="Calibri" w:hAnsi="Calibri"/>
    </w:rPr>
  </w:style>
  <w:style w:type="character" w:customStyle="1" w:styleId="12">
    <w:name w:val="页眉 Char"/>
    <w:basedOn w:val="10"/>
    <w:link w:val="7"/>
    <w:qFormat/>
    <w:uiPriority w:val="0"/>
    <w:rPr>
      <w:rFonts w:eastAsia="仿宋_GB2312" w:cs="仿宋_GB2312"/>
      <w:kern w:val="2"/>
      <w:sz w:val="18"/>
      <w:szCs w:val="18"/>
    </w:rPr>
  </w:style>
  <w:style w:type="character" w:customStyle="1" w:styleId="13">
    <w:name w:val="页脚 Char"/>
    <w:basedOn w:val="10"/>
    <w:link w:val="6"/>
    <w:qFormat/>
    <w:uiPriority w:val="0"/>
    <w:rPr>
      <w:rFonts w:eastAsia="仿宋_GB2312" w:cs="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568</Words>
  <Characters>626</Characters>
  <Lines>4</Lines>
  <Paragraphs>1</Paragraphs>
  <TotalTime>12</TotalTime>
  <ScaleCrop>false</ScaleCrop>
  <LinksUpToDate>false</LinksUpToDate>
  <CharactersWithSpaces>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2025-12-08T01:06:00Z</dcterms:created>
  <dc:creator>史桂华</dc:creator>
  <cp:lastModifiedBy>叶子</cp:lastModifiedBy>
  <dcterms:modified xsi:type="dcterms:W3CDTF">2025-12-08T02:29:46Z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580CF3589373442AB524364BFB86F3D8_13</vt:lpwstr>
  </property>
  <property fmtid="{D5CDD505-2E9C-101B-9397-08002B2CF9AE}" pid="4" name="KSOTemplateDocerSaveRecord">
    <vt:lpwstr>eyJoZGlkIjoiZTEzZjQ3YTJkYTJjMjUwNmY2NzNkMTZlZjY1NmZmNjciLCJ1c2VySWQiOiI1NzQ2MTM3OTMifQ==</vt:lpwstr>
  </property>
</Properties>
</file>